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77B49" w14:textId="3A055E01" w:rsidR="00AF460A" w:rsidRDefault="005C3E9A" w:rsidP="00AF460A">
      <w:pPr>
        <w:spacing w:after="0" w:line="360" w:lineRule="auto"/>
        <w:jc w:val="center"/>
        <w:rPr>
          <w:rFonts w:ascii="Garamond" w:eastAsia="Calibri" w:hAnsi="Garamond" w:cs="Sanskrit Text"/>
          <w:b/>
          <w:bCs/>
          <w:sz w:val="24"/>
          <w:szCs w:val="24"/>
        </w:rPr>
      </w:pPr>
      <w:bookmarkStart w:id="0" w:name="_Hlk62211757"/>
      <w:r w:rsidRPr="001A23D9">
        <w:rPr>
          <w:rFonts w:ascii="Garamond" w:eastAsia="Calibri" w:hAnsi="Garamond" w:cs="Sanskrit Text"/>
          <w:b/>
          <w:bCs/>
          <w:sz w:val="24"/>
          <w:szCs w:val="24"/>
        </w:rPr>
        <w:t>2</w:t>
      </w:r>
      <w:r w:rsidR="0056059E" w:rsidRPr="001A23D9">
        <w:rPr>
          <w:rFonts w:ascii="Garamond" w:eastAsia="Calibri" w:hAnsi="Garamond" w:cs="Sanskrit Text"/>
          <w:b/>
          <w:bCs/>
          <w:sz w:val="24"/>
          <w:szCs w:val="24"/>
        </w:rPr>
        <w:t>0</w:t>
      </w:r>
      <w:r w:rsidR="00341BF3" w:rsidRPr="001A23D9">
        <w:rPr>
          <w:rFonts w:ascii="Garamond" w:eastAsia="Calibri" w:hAnsi="Garamond" w:cs="Sanskrit Text"/>
          <w:b/>
          <w:bCs/>
          <w:sz w:val="24"/>
          <w:szCs w:val="24"/>
        </w:rPr>
        <w:t>2</w:t>
      </w:r>
      <w:r w:rsidR="005E0626">
        <w:rPr>
          <w:rFonts w:ascii="Garamond" w:eastAsia="Calibri" w:hAnsi="Garamond" w:cs="Sanskrit Text"/>
          <w:b/>
          <w:bCs/>
          <w:sz w:val="24"/>
          <w:szCs w:val="24"/>
        </w:rPr>
        <w:t>4</w:t>
      </w:r>
      <w:r w:rsidR="0056059E" w:rsidRPr="001A23D9">
        <w:rPr>
          <w:rFonts w:ascii="Garamond" w:eastAsia="Calibri" w:hAnsi="Garamond" w:cs="Sanskrit Text"/>
          <w:b/>
          <w:bCs/>
          <w:sz w:val="24"/>
          <w:szCs w:val="24"/>
        </w:rPr>
        <w:t xml:space="preserve"> </w:t>
      </w:r>
      <w:r w:rsidR="00B6061A" w:rsidRPr="001A23D9">
        <w:rPr>
          <w:rFonts w:ascii="Garamond" w:eastAsia="Calibri" w:hAnsi="Garamond" w:cs="Sanskrit Text"/>
          <w:b/>
          <w:bCs/>
          <w:sz w:val="24"/>
          <w:szCs w:val="24"/>
        </w:rPr>
        <w:t xml:space="preserve">Yield </w:t>
      </w:r>
      <w:r w:rsidR="0056059E" w:rsidRPr="001A23D9">
        <w:rPr>
          <w:rFonts w:ascii="Garamond" w:eastAsia="Calibri" w:hAnsi="Garamond" w:cs="Sanskrit Text"/>
          <w:b/>
          <w:bCs/>
          <w:sz w:val="24"/>
          <w:szCs w:val="24"/>
        </w:rPr>
        <w:t>Rate Study</w:t>
      </w:r>
    </w:p>
    <w:p w14:paraId="161A0DE7" w14:textId="1B591717" w:rsidR="005C3E9A" w:rsidRPr="001A23D9" w:rsidRDefault="005C3E9A" w:rsidP="00AF460A">
      <w:pPr>
        <w:spacing w:after="0" w:line="360" w:lineRule="auto"/>
        <w:jc w:val="center"/>
        <w:rPr>
          <w:rFonts w:ascii="Garamond" w:eastAsia="Calibri" w:hAnsi="Garamond" w:cs="Sanskrit Text"/>
          <w:b/>
          <w:bCs/>
          <w:sz w:val="24"/>
          <w:szCs w:val="24"/>
        </w:rPr>
      </w:pPr>
      <w:r w:rsidRPr="001A23D9">
        <w:rPr>
          <w:rFonts w:ascii="Garamond" w:eastAsia="Calibri" w:hAnsi="Garamond" w:cs="Sanskrit Text"/>
          <w:b/>
          <w:bCs/>
          <w:sz w:val="24"/>
          <w:szCs w:val="24"/>
        </w:rPr>
        <w:t>Executive Summary</w:t>
      </w:r>
    </w:p>
    <w:p w14:paraId="0DA432FF" w14:textId="43BC0B15" w:rsidR="0056059E" w:rsidRPr="001A23D9" w:rsidRDefault="008B30BE" w:rsidP="002766F7">
      <w:pPr>
        <w:spacing w:after="160" w:line="259" w:lineRule="auto"/>
        <w:rPr>
          <w:rFonts w:ascii="Garamond" w:eastAsia="Calibri" w:hAnsi="Garamond" w:cs="Sanskrit Text"/>
          <w:sz w:val="24"/>
          <w:szCs w:val="24"/>
        </w:rPr>
      </w:pPr>
      <w:r>
        <w:rPr>
          <w:rFonts w:ascii="Garamond" w:eastAsia="Calibri" w:hAnsi="Garamond" w:cs="Sanskrit Text"/>
          <w:sz w:val="24"/>
          <w:szCs w:val="24"/>
        </w:rPr>
        <w:t>Each year T</w:t>
      </w:r>
      <w:r w:rsidR="0056059E" w:rsidRPr="001A23D9">
        <w:rPr>
          <w:rFonts w:ascii="Garamond" w:eastAsia="Calibri" w:hAnsi="Garamond" w:cs="Sanskrit Text"/>
          <w:sz w:val="24"/>
          <w:szCs w:val="24"/>
        </w:rPr>
        <w:t xml:space="preserve">ax </w:t>
      </w:r>
      <w:r w:rsidR="001376F1" w:rsidRPr="001A23D9">
        <w:rPr>
          <w:rFonts w:ascii="Garamond" w:eastAsia="Calibri" w:hAnsi="Garamond" w:cs="Sanskrit Text"/>
          <w:sz w:val="24"/>
          <w:szCs w:val="24"/>
        </w:rPr>
        <w:t xml:space="preserve">Commission </w:t>
      </w:r>
      <w:r w:rsidR="0056059E" w:rsidRPr="001A23D9">
        <w:rPr>
          <w:rFonts w:ascii="Garamond" w:eastAsia="Calibri" w:hAnsi="Garamond" w:cs="Sanskrit Text"/>
          <w:sz w:val="24"/>
          <w:szCs w:val="24"/>
        </w:rPr>
        <w:t xml:space="preserve">appraisal staff estimates the </w:t>
      </w:r>
      <w:r w:rsidR="00642701" w:rsidRPr="001A23D9">
        <w:rPr>
          <w:rFonts w:ascii="Garamond" w:eastAsia="Calibri" w:hAnsi="Garamond" w:cs="Sanskrit Text"/>
          <w:sz w:val="24"/>
          <w:szCs w:val="24"/>
        </w:rPr>
        <w:t>m</w:t>
      </w:r>
      <w:r w:rsidR="0056059E" w:rsidRPr="001A23D9">
        <w:rPr>
          <w:rFonts w:ascii="Garamond" w:eastAsia="Calibri" w:hAnsi="Garamond" w:cs="Sanskrit Text"/>
          <w:sz w:val="24"/>
          <w:szCs w:val="24"/>
        </w:rPr>
        <w:t xml:space="preserve">arket </w:t>
      </w:r>
      <w:r w:rsidR="00642701" w:rsidRPr="001A23D9">
        <w:rPr>
          <w:rFonts w:ascii="Garamond" w:eastAsia="Calibri" w:hAnsi="Garamond" w:cs="Sanskrit Text"/>
          <w:sz w:val="24"/>
          <w:szCs w:val="24"/>
        </w:rPr>
        <w:t>v</w:t>
      </w:r>
      <w:r w:rsidR="0056059E" w:rsidRPr="001A23D9">
        <w:rPr>
          <w:rFonts w:ascii="Garamond" w:eastAsia="Calibri" w:hAnsi="Garamond" w:cs="Sanskrit Text"/>
          <w:sz w:val="24"/>
          <w:szCs w:val="24"/>
        </w:rPr>
        <w:t>alue of operating property</w:t>
      </w:r>
      <w:r w:rsidR="0056059E" w:rsidRPr="001A23D9">
        <w:rPr>
          <w:rFonts w:ascii="Garamond" w:eastAsia="Calibri" w:hAnsi="Garamond" w:cs="Sanskrit Text"/>
          <w:sz w:val="24"/>
          <w:szCs w:val="24"/>
          <w:vertAlign w:val="superscript"/>
        </w:rPr>
        <w:footnoteReference w:id="1"/>
      </w:r>
      <w:r w:rsidR="00D80877" w:rsidRPr="001A23D9">
        <w:rPr>
          <w:rFonts w:ascii="Garamond" w:eastAsia="Calibri" w:hAnsi="Garamond" w:cs="Sanskrit Text"/>
          <w:sz w:val="24"/>
          <w:szCs w:val="24"/>
        </w:rPr>
        <w:t xml:space="preserve"> </w:t>
      </w:r>
      <w:r w:rsidR="0056059E" w:rsidRPr="001A23D9">
        <w:rPr>
          <w:rFonts w:ascii="Garamond" w:eastAsia="Calibri" w:hAnsi="Garamond" w:cs="Sanskrit Text"/>
          <w:sz w:val="24"/>
          <w:szCs w:val="24"/>
        </w:rPr>
        <w:t xml:space="preserve">as of </w:t>
      </w:r>
      <w:r w:rsidR="00DA5DBA" w:rsidRPr="001A23D9">
        <w:rPr>
          <w:rFonts w:ascii="Garamond" w:eastAsia="Calibri" w:hAnsi="Garamond" w:cs="Sanskrit Text"/>
          <w:sz w:val="24"/>
          <w:szCs w:val="24"/>
        </w:rPr>
        <w:t>a January 1</w:t>
      </w:r>
      <w:r w:rsidR="00133EFA" w:rsidRPr="001A23D9">
        <w:rPr>
          <w:rFonts w:ascii="Garamond" w:eastAsia="Calibri" w:hAnsi="Garamond" w:cs="Sanskrit Text"/>
          <w:sz w:val="24"/>
          <w:szCs w:val="24"/>
          <w:vertAlign w:val="superscript"/>
        </w:rPr>
        <w:t>st</w:t>
      </w:r>
      <w:r w:rsidR="00DA5DBA" w:rsidRPr="001A23D9">
        <w:rPr>
          <w:rFonts w:ascii="Garamond" w:eastAsia="Calibri" w:hAnsi="Garamond" w:cs="Sanskrit Text"/>
          <w:sz w:val="24"/>
          <w:szCs w:val="24"/>
        </w:rPr>
        <w:t xml:space="preserve"> </w:t>
      </w:r>
      <w:r w:rsidR="0056059E" w:rsidRPr="001A23D9">
        <w:rPr>
          <w:rFonts w:ascii="Garamond" w:eastAsia="Calibri" w:hAnsi="Garamond" w:cs="Sanskrit Text"/>
          <w:sz w:val="24"/>
          <w:szCs w:val="24"/>
        </w:rPr>
        <w:t>lien date</w:t>
      </w:r>
      <w:r w:rsidR="00541DFB" w:rsidRPr="001A23D9">
        <w:rPr>
          <w:rFonts w:ascii="Garamond" w:eastAsia="Calibri" w:hAnsi="Garamond" w:cs="Sanskrit Text"/>
          <w:sz w:val="24"/>
          <w:szCs w:val="24"/>
        </w:rPr>
        <w:t>.</w:t>
      </w:r>
      <w:r w:rsidR="008F75BA" w:rsidRPr="001A23D9">
        <w:rPr>
          <w:rStyle w:val="FootnoteReference"/>
          <w:rFonts w:ascii="Garamond" w:eastAsia="Calibri" w:hAnsi="Garamond" w:cs="Sanskrit Text"/>
          <w:sz w:val="24"/>
          <w:szCs w:val="24"/>
        </w:rPr>
        <w:footnoteReference w:id="2"/>
      </w:r>
      <w:r w:rsidR="0056059E" w:rsidRPr="001A23D9">
        <w:rPr>
          <w:rFonts w:ascii="Garamond" w:eastAsia="Calibri" w:hAnsi="Garamond" w:cs="Sanskrit Text"/>
          <w:sz w:val="24"/>
          <w:szCs w:val="24"/>
        </w:rPr>
        <w:t xml:space="preserve">  As part of this process, </w:t>
      </w:r>
      <w:r w:rsidR="005B294A">
        <w:rPr>
          <w:rFonts w:ascii="Garamond" w:eastAsia="Calibri" w:hAnsi="Garamond" w:cs="Sanskrit Text"/>
          <w:sz w:val="24"/>
          <w:szCs w:val="24"/>
        </w:rPr>
        <w:t>we</w:t>
      </w:r>
      <w:r w:rsidR="0056059E" w:rsidRPr="001A23D9">
        <w:rPr>
          <w:rFonts w:ascii="Garamond" w:eastAsia="Calibri" w:hAnsi="Garamond" w:cs="Sanskrit Text"/>
          <w:sz w:val="24"/>
          <w:szCs w:val="24"/>
        </w:rPr>
        <w:t xml:space="preserve"> develop yield capitalization rate studies for several state assessed industries, </w:t>
      </w:r>
      <w:r w:rsidR="008F75BA" w:rsidRPr="001A23D9">
        <w:rPr>
          <w:rFonts w:ascii="Garamond" w:eastAsia="Calibri" w:hAnsi="Garamond" w:cs="Sanskrit Text"/>
          <w:sz w:val="24"/>
          <w:szCs w:val="24"/>
        </w:rPr>
        <w:t>specifically:</w:t>
      </w:r>
      <w:r w:rsidR="0056059E" w:rsidRPr="001A23D9">
        <w:rPr>
          <w:rFonts w:ascii="Garamond" w:eastAsia="Calibri" w:hAnsi="Garamond" w:cs="Sanskrit Text"/>
          <w:sz w:val="24"/>
          <w:szCs w:val="24"/>
        </w:rPr>
        <w:t xml:space="preserve"> investor-owned electrics, gas transmission and distribution pipelines, petroleum pipelines, railroads, telecommunications, water transportation</w:t>
      </w:r>
      <w:r w:rsidR="00734041" w:rsidRPr="001A23D9">
        <w:rPr>
          <w:rFonts w:ascii="Garamond" w:eastAsia="Calibri" w:hAnsi="Garamond" w:cs="Sanskrit Text"/>
          <w:sz w:val="24"/>
          <w:szCs w:val="24"/>
        </w:rPr>
        <w:t xml:space="preserve"> and distribution</w:t>
      </w:r>
      <w:r w:rsidR="0056059E" w:rsidRPr="001A23D9">
        <w:rPr>
          <w:rFonts w:ascii="Garamond" w:eastAsia="Calibri" w:hAnsi="Garamond" w:cs="Sanskrit Text"/>
          <w:sz w:val="24"/>
          <w:szCs w:val="24"/>
        </w:rPr>
        <w:t xml:space="preserve">, and non-utility electric generation industries.  </w:t>
      </w:r>
      <w:r w:rsidR="00181D4E" w:rsidRPr="001A23D9">
        <w:rPr>
          <w:rFonts w:ascii="Garamond" w:eastAsia="Calibri" w:hAnsi="Garamond" w:cs="Sanskrit Text"/>
          <w:sz w:val="24"/>
          <w:szCs w:val="24"/>
        </w:rPr>
        <w:t>The following</w:t>
      </w:r>
      <w:r w:rsidR="00DD5065" w:rsidRPr="001A23D9">
        <w:rPr>
          <w:rFonts w:ascii="Garamond" w:eastAsia="Calibri" w:hAnsi="Garamond" w:cs="Sanskrit Text"/>
          <w:sz w:val="24"/>
          <w:szCs w:val="24"/>
        </w:rPr>
        <w:t xml:space="preserve"> </w:t>
      </w:r>
      <w:r w:rsidR="00F56F10" w:rsidRPr="001A23D9">
        <w:rPr>
          <w:rFonts w:ascii="Garamond" w:eastAsia="Calibri" w:hAnsi="Garamond" w:cs="Sanskrit Text"/>
          <w:sz w:val="24"/>
          <w:szCs w:val="24"/>
        </w:rPr>
        <w:t xml:space="preserve">highlights the </w:t>
      </w:r>
      <w:r w:rsidR="0056059E" w:rsidRPr="001A23D9">
        <w:rPr>
          <w:rFonts w:ascii="Garamond" w:eastAsia="Calibri" w:hAnsi="Garamond" w:cs="Sanskrit Text"/>
          <w:sz w:val="24"/>
          <w:szCs w:val="24"/>
        </w:rPr>
        <w:t xml:space="preserve">valuation principles and models that </w:t>
      </w:r>
      <w:r w:rsidR="00726D3D" w:rsidRPr="001A23D9">
        <w:rPr>
          <w:rFonts w:ascii="Garamond" w:eastAsia="Calibri" w:hAnsi="Garamond" w:cs="Sanskrit Text"/>
          <w:sz w:val="24"/>
          <w:szCs w:val="24"/>
        </w:rPr>
        <w:t>are</w:t>
      </w:r>
      <w:r w:rsidR="0056059E" w:rsidRPr="001A23D9">
        <w:rPr>
          <w:rFonts w:ascii="Garamond" w:eastAsia="Calibri" w:hAnsi="Garamond" w:cs="Sanskrit Text"/>
          <w:sz w:val="24"/>
          <w:szCs w:val="24"/>
        </w:rPr>
        <w:t xml:space="preserve"> use</w:t>
      </w:r>
      <w:r w:rsidR="00726D3D" w:rsidRPr="001A23D9">
        <w:rPr>
          <w:rFonts w:ascii="Garamond" w:eastAsia="Calibri" w:hAnsi="Garamond" w:cs="Sanskrit Text"/>
          <w:sz w:val="24"/>
          <w:szCs w:val="24"/>
        </w:rPr>
        <w:t>d</w:t>
      </w:r>
      <w:r w:rsidR="0056059E" w:rsidRPr="001A23D9">
        <w:rPr>
          <w:rFonts w:ascii="Garamond" w:eastAsia="Calibri" w:hAnsi="Garamond" w:cs="Sanskrit Text"/>
          <w:sz w:val="24"/>
          <w:szCs w:val="24"/>
        </w:rPr>
        <w:t xml:space="preserve"> to estimate </w:t>
      </w:r>
      <w:r w:rsidR="00EA7F02">
        <w:rPr>
          <w:rFonts w:ascii="Garamond" w:eastAsia="Calibri" w:hAnsi="Garamond" w:cs="Sanskrit Text"/>
          <w:sz w:val="24"/>
          <w:szCs w:val="24"/>
        </w:rPr>
        <w:t xml:space="preserve">these </w:t>
      </w:r>
      <w:r w:rsidR="0056059E" w:rsidRPr="001A23D9">
        <w:rPr>
          <w:rFonts w:ascii="Garamond" w:eastAsia="Calibri" w:hAnsi="Garamond" w:cs="Sanskrit Text"/>
          <w:sz w:val="24"/>
          <w:szCs w:val="24"/>
        </w:rPr>
        <w:t>rates</w:t>
      </w:r>
      <w:r w:rsidR="00F56F10" w:rsidRPr="001A23D9">
        <w:rPr>
          <w:rFonts w:ascii="Garamond" w:eastAsia="Calibri" w:hAnsi="Garamond" w:cs="Sanskrit Text"/>
          <w:sz w:val="24"/>
          <w:szCs w:val="24"/>
        </w:rPr>
        <w:t>.</w:t>
      </w:r>
      <w:r w:rsidR="0056059E" w:rsidRPr="001A23D9">
        <w:rPr>
          <w:rFonts w:ascii="Garamond" w:eastAsia="Calibri" w:hAnsi="Garamond" w:cs="Sanskrit Text"/>
          <w:sz w:val="24"/>
          <w:szCs w:val="24"/>
        </w:rPr>
        <w:t xml:space="preserve">  </w:t>
      </w:r>
      <w:r w:rsidR="00EA7F02">
        <w:rPr>
          <w:rFonts w:ascii="Garamond" w:eastAsia="Calibri" w:hAnsi="Garamond" w:cs="Sanskrit Text"/>
          <w:sz w:val="24"/>
          <w:szCs w:val="24"/>
        </w:rPr>
        <w:t>R</w:t>
      </w:r>
      <w:r w:rsidR="0056059E" w:rsidRPr="001A23D9">
        <w:rPr>
          <w:rFonts w:ascii="Garamond" w:eastAsia="Calibri" w:hAnsi="Garamond" w:cs="Sanskrit Text"/>
          <w:sz w:val="24"/>
          <w:szCs w:val="24"/>
        </w:rPr>
        <w:t>ates for the current year can be found on the final page of this document.  Individual industry studies are available upon request.</w:t>
      </w:r>
    </w:p>
    <w:p w14:paraId="6F45080C" w14:textId="7FA5AA37" w:rsidR="0056059E" w:rsidRPr="001A23D9" w:rsidRDefault="004717B0" w:rsidP="002766F7">
      <w:pPr>
        <w:spacing w:after="160" w:line="259" w:lineRule="auto"/>
        <w:rPr>
          <w:rFonts w:ascii="Garamond" w:eastAsia="Calibri" w:hAnsi="Garamond" w:cs="Sanskrit Text"/>
          <w:b/>
          <w:bCs/>
          <w:sz w:val="24"/>
          <w:szCs w:val="24"/>
          <w:u w:val="single"/>
        </w:rPr>
      </w:pPr>
      <w:r w:rsidRPr="001A23D9">
        <w:rPr>
          <w:rFonts w:ascii="Garamond" w:eastAsia="Calibri" w:hAnsi="Garamond" w:cs="Sanskrit Text"/>
          <w:b/>
          <w:bCs/>
          <w:sz w:val="24"/>
          <w:szCs w:val="24"/>
          <w:u w:val="single"/>
        </w:rPr>
        <w:t>MARKET VALUE</w:t>
      </w:r>
    </w:p>
    <w:p w14:paraId="4652A307" w14:textId="3B3EDB12" w:rsidR="0056059E" w:rsidRPr="001A23D9" w:rsidRDefault="0056059E" w:rsidP="002766F7">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Idaho Statute </w:t>
      </w:r>
      <w:bookmarkStart w:id="1" w:name="_Hlk68177861"/>
      <w:r w:rsidR="00D8766B" w:rsidRPr="001A23D9">
        <w:rPr>
          <w:rFonts w:ascii="Garamond" w:eastAsia="Calibri" w:hAnsi="Garamond" w:cs="Sanskrit Text"/>
          <w:sz w:val="24"/>
          <w:szCs w:val="24"/>
        </w:rPr>
        <w:t>§</w:t>
      </w:r>
      <w:bookmarkEnd w:id="1"/>
      <w:r w:rsidRPr="001A23D9">
        <w:rPr>
          <w:rFonts w:ascii="Garamond" w:eastAsia="Calibri" w:hAnsi="Garamond" w:cs="Sanskrit Text"/>
          <w:sz w:val="24"/>
          <w:szCs w:val="24"/>
        </w:rPr>
        <w:t xml:space="preserve">63-201(15) defines “Market Value” as: </w:t>
      </w:r>
    </w:p>
    <w:p w14:paraId="6B452852" w14:textId="0581F15F" w:rsidR="0056059E" w:rsidRPr="001A23D9" w:rsidRDefault="003764A9" w:rsidP="00C615B5">
      <w:pPr>
        <w:spacing w:after="160" w:line="259" w:lineRule="auto"/>
        <w:ind w:left="360"/>
        <w:rPr>
          <w:rFonts w:ascii="Garamond" w:eastAsia="Calibri" w:hAnsi="Garamond" w:cs="Sanskrit Text"/>
          <w:sz w:val="24"/>
          <w:szCs w:val="24"/>
        </w:rPr>
      </w:pPr>
      <w:r w:rsidRPr="001A23D9">
        <w:rPr>
          <w:rFonts w:ascii="Garamond" w:eastAsia="Calibri" w:hAnsi="Garamond" w:cs="Sanskrit Text"/>
          <w:sz w:val="24"/>
          <w:szCs w:val="24"/>
        </w:rPr>
        <w:t>“</w:t>
      </w:r>
      <w:r w:rsidR="0056059E" w:rsidRPr="001A23D9">
        <w:rPr>
          <w:rFonts w:ascii="Garamond" w:eastAsia="Calibri" w:hAnsi="Garamond" w:cs="Sanskrit Text"/>
          <w:sz w:val="24"/>
          <w:szCs w:val="24"/>
        </w:rPr>
        <w:t>Market value</w:t>
      </w:r>
      <w:r w:rsidR="004A2F3C" w:rsidRPr="001A23D9">
        <w:rPr>
          <w:rFonts w:ascii="Garamond" w:eastAsia="Calibri" w:hAnsi="Garamond" w:cs="Sanskrit Text"/>
          <w:sz w:val="24"/>
          <w:szCs w:val="24"/>
        </w:rPr>
        <w:t>,</w:t>
      </w:r>
      <w:r w:rsidR="0056059E" w:rsidRPr="001A23D9">
        <w:rPr>
          <w:rFonts w:ascii="Garamond" w:eastAsia="Calibri" w:hAnsi="Garamond" w:cs="Sanskrit Text"/>
          <w:sz w:val="24"/>
          <w:szCs w:val="24"/>
        </w:rPr>
        <w:t xml:space="preserve"> means the amount of United States dollars or equivalent for which, in all probability, a property would exchange hands between a willing seller, under no compulsion to sell, and an informed, capable buyer, with a reasonable time allowed to consummate the sale, substantiated by a reasonable down or full cash payment.</w:t>
      </w:r>
      <w:r w:rsidR="004A2F3C" w:rsidRPr="001A23D9">
        <w:rPr>
          <w:rFonts w:ascii="Garamond" w:eastAsia="Calibri" w:hAnsi="Garamond" w:cs="Sanskrit Text"/>
          <w:sz w:val="24"/>
          <w:szCs w:val="24"/>
        </w:rPr>
        <w:t>”</w:t>
      </w:r>
    </w:p>
    <w:p w14:paraId="5728B764" w14:textId="486531CC" w:rsidR="0056059E" w:rsidRPr="001A23D9" w:rsidRDefault="0056059E" w:rsidP="002766F7">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Idaho Administrative Rule </w:t>
      </w:r>
      <w:r w:rsidR="000F1733" w:rsidRPr="001A23D9">
        <w:rPr>
          <w:rFonts w:ascii="Garamond" w:eastAsia="Calibri" w:hAnsi="Garamond" w:cs="Sanskrit Text"/>
          <w:sz w:val="24"/>
          <w:szCs w:val="24"/>
        </w:rPr>
        <w:t>35.01.</w:t>
      </w:r>
      <w:r w:rsidR="008F75BA" w:rsidRPr="001A23D9">
        <w:rPr>
          <w:rFonts w:ascii="Garamond" w:eastAsia="Calibri" w:hAnsi="Garamond" w:cs="Sanskrit Text"/>
          <w:sz w:val="24"/>
          <w:szCs w:val="24"/>
        </w:rPr>
        <w:t>03.</w:t>
      </w:r>
      <w:r w:rsidR="00726D3D" w:rsidRPr="001A23D9">
        <w:rPr>
          <w:rFonts w:ascii="Garamond" w:eastAsia="Calibri" w:hAnsi="Garamond" w:cs="Sanskrit Text"/>
          <w:sz w:val="24"/>
          <w:szCs w:val="24"/>
        </w:rPr>
        <w:t xml:space="preserve">405.04 </w:t>
      </w:r>
      <w:r w:rsidRPr="001A23D9">
        <w:rPr>
          <w:rFonts w:ascii="Garamond" w:eastAsia="Calibri" w:hAnsi="Garamond" w:cs="Sanskrit Text"/>
          <w:sz w:val="24"/>
          <w:szCs w:val="24"/>
        </w:rPr>
        <w:t xml:space="preserve">provides further </w:t>
      </w:r>
      <w:r w:rsidR="0043665E" w:rsidRPr="001A23D9">
        <w:rPr>
          <w:rFonts w:ascii="Garamond" w:eastAsia="Calibri" w:hAnsi="Garamond" w:cs="Sanskrit Text"/>
          <w:sz w:val="24"/>
          <w:szCs w:val="24"/>
        </w:rPr>
        <w:t>guidance</w:t>
      </w:r>
      <w:r w:rsidR="00F56F10" w:rsidRPr="001A23D9">
        <w:rPr>
          <w:rFonts w:ascii="Garamond" w:eastAsia="Calibri" w:hAnsi="Garamond" w:cs="Sanskrit Text"/>
          <w:sz w:val="24"/>
          <w:szCs w:val="24"/>
        </w:rPr>
        <w:t xml:space="preserve"> on estimating </w:t>
      </w:r>
      <w:r w:rsidRPr="001A23D9">
        <w:rPr>
          <w:rFonts w:ascii="Garamond" w:eastAsia="Calibri" w:hAnsi="Garamond" w:cs="Sanskrit Text"/>
          <w:sz w:val="24"/>
          <w:szCs w:val="24"/>
        </w:rPr>
        <w:t>market value:</w:t>
      </w:r>
    </w:p>
    <w:p w14:paraId="50105CDB" w14:textId="40E9A7EE" w:rsidR="0056059E" w:rsidRPr="001A23D9" w:rsidRDefault="004A2F3C" w:rsidP="002766F7">
      <w:pPr>
        <w:spacing w:after="160" w:line="259" w:lineRule="auto"/>
        <w:ind w:left="360"/>
        <w:rPr>
          <w:rFonts w:ascii="Garamond" w:eastAsia="Calibri" w:hAnsi="Garamond" w:cs="Sanskrit Text"/>
          <w:sz w:val="24"/>
          <w:szCs w:val="24"/>
        </w:rPr>
      </w:pPr>
      <w:r w:rsidRPr="001A23D9">
        <w:rPr>
          <w:rFonts w:ascii="Garamond" w:eastAsia="Calibri" w:hAnsi="Garamond" w:cs="Sanskrit Text"/>
          <w:sz w:val="24"/>
          <w:szCs w:val="24"/>
        </w:rPr>
        <w:t>“</w:t>
      </w:r>
      <w:r w:rsidR="0056059E" w:rsidRPr="001A23D9">
        <w:rPr>
          <w:rFonts w:ascii="Garamond" w:eastAsia="Calibri" w:hAnsi="Garamond" w:cs="Sanskrit Text"/>
          <w:sz w:val="24"/>
          <w:szCs w:val="24"/>
        </w:rPr>
        <w:t>Market value shall be determined through procedures, methods, and techniques accepted by nationally recognized appraisal and valuation organizations.</w:t>
      </w:r>
      <w:r w:rsidRPr="001A23D9">
        <w:rPr>
          <w:rFonts w:ascii="Garamond" w:eastAsia="Calibri" w:hAnsi="Garamond" w:cs="Sanskrit Text"/>
          <w:sz w:val="24"/>
          <w:szCs w:val="24"/>
        </w:rPr>
        <w:t>”</w:t>
      </w:r>
    </w:p>
    <w:p w14:paraId="1EC71C1F" w14:textId="62570B57" w:rsidR="0056059E" w:rsidRPr="001A23D9" w:rsidRDefault="0056059E" w:rsidP="002766F7">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The procedures, methods, and techniques used by </w:t>
      </w:r>
      <w:r w:rsidR="001376F1" w:rsidRPr="001A23D9">
        <w:rPr>
          <w:rFonts w:ascii="Garamond" w:eastAsia="Calibri" w:hAnsi="Garamond" w:cs="Sanskrit Text"/>
          <w:sz w:val="24"/>
          <w:szCs w:val="24"/>
        </w:rPr>
        <w:t>C</w:t>
      </w:r>
      <w:r w:rsidRPr="001A23D9">
        <w:rPr>
          <w:rFonts w:ascii="Garamond" w:eastAsia="Calibri" w:hAnsi="Garamond" w:cs="Sanskrit Text"/>
          <w:sz w:val="24"/>
          <w:szCs w:val="24"/>
        </w:rPr>
        <w:t>ommission staff</w:t>
      </w:r>
      <w:r w:rsidR="002D5F5D">
        <w:rPr>
          <w:rFonts w:ascii="Garamond" w:eastAsia="Calibri" w:hAnsi="Garamond" w:cs="Sanskrit Text"/>
          <w:sz w:val="24"/>
          <w:szCs w:val="24"/>
        </w:rPr>
        <w:t xml:space="preserve"> to determine market value</w:t>
      </w:r>
      <w:r w:rsidRPr="001A23D9">
        <w:rPr>
          <w:rFonts w:ascii="Garamond" w:eastAsia="Calibri" w:hAnsi="Garamond" w:cs="Sanskrit Text"/>
          <w:sz w:val="24"/>
          <w:szCs w:val="24"/>
        </w:rPr>
        <w:t xml:space="preserve"> can be found in the writings of the following nationally recognized sources: Western States Association of Tax Administrators, Committee on Centrally Assessed Property (WSATA-CCAP)</w:t>
      </w:r>
      <w:r w:rsidR="00E70930" w:rsidRPr="001A23D9">
        <w:rPr>
          <w:rFonts w:ascii="Garamond" w:eastAsia="Calibri" w:hAnsi="Garamond" w:cs="Sanskrit Text"/>
          <w:sz w:val="24"/>
          <w:szCs w:val="24"/>
        </w:rPr>
        <w:t>;</w:t>
      </w:r>
      <w:r w:rsidRPr="001A23D9">
        <w:rPr>
          <w:rFonts w:ascii="Garamond" w:eastAsia="Calibri" w:hAnsi="Garamond" w:cs="Sanskrit Text"/>
          <w:sz w:val="24"/>
          <w:szCs w:val="24"/>
        </w:rPr>
        <w:t xml:space="preserve"> National Conference of Unit Valuation States (NCUVS)</w:t>
      </w:r>
      <w:r w:rsidR="00E70930" w:rsidRPr="001A23D9">
        <w:rPr>
          <w:rFonts w:ascii="Garamond" w:eastAsia="Calibri" w:hAnsi="Garamond" w:cs="Sanskrit Text"/>
          <w:sz w:val="24"/>
          <w:szCs w:val="24"/>
        </w:rPr>
        <w:t>;</w:t>
      </w:r>
      <w:r w:rsidRPr="001A23D9">
        <w:rPr>
          <w:rFonts w:ascii="Garamond" w:eastAsia="Calibri" w:hAnsi="Garamond" w:cs="Sanskrit Text"/>
          <w:sz w:val="24"/>
          <w:szCs w:val="24"/>
        </w:rPr>
        <w:t xml:space="preserve"> perspectives published by Dr. Aswath Damodaran of the Stern School of Business at New York University</w:t>
      </w:r>
      <w:r w:rsidR="00E70930" w:rsidRPr="001A23D9">
        <w:rPr>
          <w:rFonts w:ascii="Garamond" w:eastAsia="Calibri" w:hAnsi="Garamond" w:cs="Sanskrit Text"/>
          <w:sz w:val="24"/>
          <w:szCs w:val="24"/>
        </w:rPr>
        <w:t>;</w:t>
      </w:r>
      <w:r w:rsidRPr="001A23D9">
        <w:rPr>
          <w:rFonts w:ascii="Garamond" w:eastAsia="Calibri" w:hAnsi="Garamond" w:cs="Sanskrit Text"/>
          <w:sz w:val="24"/>
          <w:szCs w:val="24"/>
        </w:rPr>
        <w:t xml:space="preserve"> and other sources of mainstream corporate finance expertise including two of the most respected and widely used textbooks on the subject, authored by Brealey &amp; Myers and Ross &amp; Westerfield.  Some of the market data sources the Commission recognizes as widely used in corporate valuation include Value Line Investment Survey, Business Valuation Resources, Mergent Bond Record, Moody's, and Standard &amp; Poor’s. We also utilize the economic data of the Federal Reserve Bank, known as FRED.</w:t>
      </w:r>
    </w:p>
    <w:p w14:paraId="578E8D94" w14:textId="47A9342C" w:rsidR="0056059E" w:rsidRPr="001A23D9" w:rsidRDefault="0056059E" w:rsidP="002766F7">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The overarching guide to market value assessment </w:t>
      </w:r>
      <w:r w:rsidR="009F31B6">
        <w:rPr>
          <w:rFonts w:ascii="Garamond" w:eastAsia="Calibri" w:hAnsi="Garamond" w:cs="Sanskrit Text"/>
          <w:sz w:val="24"/>
          <w:szCs w:val="24"/>
        </w:rPr>
        <w:t>of</w:t>
      </w:r>
      <w:r w:rsidRPr="001A23D9">
        <w:rPr>
          <w:rFonts w:ascii="Garamond" w:eastAsia="Calibri" w:hAnsi="Garamond" w:cs="Sanskrit Text"/>
          <w:sz w:val="24"/>
          <w:szCs w:val="24"/>
        </w:rPr>
        <w:t xml:space="preserve"> state assessed property in Idaho is Title 63, Chapter 4 </w:t>
      </w:r>
      <w:r w:rsidR="00AF1EB0" w:rsidRPr="001A23D9">
        <w:rPr>
          <w:rFonts w:ascii="Garamond" w:eastAsia="Calibri" w:hAnsi="Garamond" w:cs="Sanskrit Text"/>
          <w:sz w:val="24"/>
          <w:szCs w:val="24"/>
        </w:rPr>
        <w:t xml:space="preserve">of Idaho </w:t>
      </w:r>
      <w:r w:rsidR="00A10DEF" w:rsidRPr="001A23D9">
        <w:rPr>
          <w:rFonts w:ascii="Garamond" w:eastAsia="Calibri" w:hAnsi="Garamond" w:cs="Sanskrit Text"/>
          <w:sz w:val="24"/>
          <w:szCs w:val="24"/>
        </w:rPr>
        <w:t>Statute</w:t>
      </w:r>
      <w:r w:rsidR="00AF1EB0" w:rsidRPr="001A23D9">
        <w:rPr>
          <w:rFonts w:ascii="Garamond" w:eastAsia="Calibri" w:hAnsi="Garamond" w:cs="Sanskrit Text"/>
          <w:sz w:val="24"/>
          <w:szCs w:val="24"/>
        </w:rPr>
        <w:t xml:space="preserve"> </w:t>
      </w:r>
      <w:r w:rsidRPr="001A23D9">
        <w:rPr>
          <w:rFonts w:ascii="Garamond" w:eastAsia="Calibri" w:hAnsi="Garamond" w:cs="Sanskrit Text"/>
          <w:sz w:val="24"/>
          <w:szCs w:val="24"/>
        </w:rPr>
        <w:t>and I</w:t>
      </w:r>
      <w:r w:rsidR="000F1733" w:rsidRPr="001A23D9">
        <w:rPr>
          <w:rFonts w:ascii="Garamond" w:eastAsia="Calibri" w:hAnsi="Garamond" w:cs="Sanskrit Text"/>
          <w:sz w:val="24"/>
          <w:szCs w:val="24"/>
        </w:rPr>
        <w:t>daho Administrative Rules</w:t>
      </w:r>
      <w:r w:rsidRPr="001A23D9">
        <w:rPr>
          <w:rFonts w:ascii="Garamond" w:eastAsia="Calibri" w:hAnsi="Garamond" w:cs="Sanskrit Text"/>
          <w:sz w:val="24"/>
          <w:szCs w:val="24"/>
        </w:rPr>
        <w:t xml:space="preserve"> </w:t>
      </w:r>
      <w:r w:rsidR="000F1733" w:rsidRPr="001A23D9">
        <w:rPr>
          <w:rFonts w:ascii="Garamond" w:eastAsia="Calibri" w:hAnsi="Garamond" w:cs="Sanskrit Text"/>
          <w:sz w:val="24"/>
          <w:szCs w:val="24"/>
        </w:rPr>
        <w:t>35.01.</w:t>
      </w:r>
      <w:r w:rsidR="00734041" w:rsidRPr="001A23D9">
        <w:rPr>
          <w:rFonts w:ascii="Garamond" w:eastAsia="Calibri" w:hAnsi="Garamond" w:cs="Sanskrit Text"/>
          <w:sz w:val="24"/>
          <w:szCs w:val="24"/>
        </w:rPr>
        <w:t>03.</w:t>
      </w:r>
      <w:r w:rsidRPr="001A23D9">
        <w:rPr>
          <w:rFonts w:ascii="Garamond" w:eastAsia="Calibri" w:hAnsi="Garamond" w:cs="Sanskrit Text"/>
          <w:sz w:val="24"/>
          <w:szCs w:val="24"/>
        </w:rPr>
        <w:t>404-417.</w:t>
      </w:r>
    </w:p>
    <w:p w14:paraId="12DA4913" w14:textId="2FB12A3E" w:rsidR="0056059E" w:rsidRPr="001A23D9" w:rsidRDefault="0056059E" w:rsidP="002766F7">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Three primary valuation models are recognized </w:t>
      </w:r>
      <w:r w:rsidR="00E70930" w:rsidRPr="001A23D9">
        <w:rPr>
          <w:rFonts w:ascii="Garamond" w:eastAsia="Calibri" w:hAnsi="Garamond" w:cs="Sanskrit Text"/>
          <w:sz w:val="24"/>
          <w:szCs w:val="24"/>
        </w:rPr>
        <w:t xml:space="preserve">in Idaho law </w:t>
      </w:r>
      <w:r w:rsidRPr="001A23D9">
        <w:rPr>
          <w:rFonts w:ascii="Garamond" w:eastAsia="Calibri" w:hAnsi="Garamond" w:cs="Sanskrit Text"/>
          <w:sz w:val="24"/>
          <w:szCs w:val="24"/>
        </w:rPr>
        <w:t xml:space="preserve">and applied </w:t>
      </w:r>
      <w:r w:rsidR="003F25EA" w:rsidRPr="001A23D9">
        <w:rPr>
          <w:rFonts w:ascii="Garamond" w:eastAsia="Calibri" w:hAnsi="Garamond" w:cs="Sanskrit Text"/>
          <w:sz w:val="24"/>
          <w:szCs w:val="24"/>
        </w:rPr>
        <w:t xml:space="preserve">nationally </w:t>
      </w:r>
      <w:r w:rsidRPr="001A23D9">
        <w:rPr>
          <w:rFonts w:ascii="Garamond" w:eastAsia="Calibri" w:hAnsi="Garamond" w:cs="Sanskrit Text"/>
          <w:sz w:val="24"/>
          <w:szCs w:val="24"/>
        </w:rPr>
        <w:t xml:space="preserve">by </w:t>
      </w:r>
      <w:r w:rsidR="00EA7F02">
        <w:rPr>
          <w:rFonts w:ascii="Garamond" w:eastAsia="Calibri" w:hAnsi="Garamond" w:cs="Sanskrit Text"/>
          <w:sz w:val="24"/>
          <w:szCs w:val="24"/>
        </w:rPr>
        <w:t>property tax appraisers</w:t>
      </w:r>
      <w:r w:rsidRPr="001A23D9">
        <w:rPr>
          <w:rFonts w:ascii="Garamond" w:eastAsia="Calibri" w:hAnsi="Garamond" w:cs="Sanskrit Text"/>
          <w:sz w:val="24"/>
          <w:szCs w:val="24"/>
        </w:rPr>
        <w:t xml:space="preserve"> to estimate the market value of property.  The Income Approach is one of those methods.</w:t>
      </w:r>
    </w:p>
    <w:p w14:paraId="6BF852D5" w14:textId="77777777" w:rsidR="001A23D9" w:rsidRDefault="001A23D9" w:rsidP="002766F7">
      <w:pPr>
        <w:spacing w:after="160" w:line="259" w:lineRule="auto"/>
        <w:rPr>
          <w:rFonts w:ascii="Garamond" w:eastAsia="Calibri" w:hAnsi="Garamond" w:cs="Sanskrit Text"/>
          <w:b/>
          <w:bCs/>
          <w:color w:val="000000"/>
          <w:sz w:val="24"/>
          <w:szCs w:val="24"/>
          <w:u w:val="single"/>
        </w:rPr>
      </w:pPr>
    </w:p>
    <w:p w14:paraId="5B321D5E" w14:textId="78D2C2F4" w:rsidR="0056059E" w:rsidRPr="001A23D9" w:rsidRDefault="004717B0" w:rsidP="002766F7">
      <w:pPr>
        <w:spacing w:after="160" w:line="259" w:lineRule="auto"/>
        <w:rPr>
          <w:rFonts w:ascii="Garamond" w:eastAsia="Calibri" w:hAnsi="Garamond" w:cs="Sanskrit Text"/>
          <w:b/>
          <w:bCs/>
          <w:color w:val="000000"/>
          <w:sz w:val="24"/>
          <w:szCs w:val="24"/>
          <w:u w:val="single"/>
        </w:rPr>
      </w:pPr>
      <w:r w:rsidRPr="001A23D9">
        <w:rPr>
          <w:rFonts w:ascii="Garamond" w:eastAsia="Calibri" w:hAnsi="Garamond" w:cs="Sanskrit Text"/>
          <w:b/>
          <w:bCs/>
          <w:color w:val="000000"/>
          <w:sz w:val="24"/>
          <w:szCs w:val="24"/>
          <w:u w:val="single"/>
        </w:rPr>
        <w:lastRenderedPageBreak/>
        <w:t>INCOME APPROACH</w:t>
      </w:r>
    </w:p>
    <w:p w14:paraId="07F6DD8E" w14:textId="77777777" w:rsidR="00C7336D" w:rsidRDefault="00D672F7" w:rsidP="002766F7">
      <w:pPr>
        <w:spacing w:after="160" w:line="259" w:lineRule="auto"/>
        <w:rPr>
          <w:rFonts w:ascii="Garamond" w:eastAsia="Calibri" w:hAnsi="Garamond" w:cs="Sanskrit Text"/>
          <w:color w:val="000000"/>
          <w:sz w:val="24"/>
          <w:szCs w:val="24"/>
        </w:rPr>
      </w:pPr>
      <w:r w:rsidRPr="001A23D9">
        <w:rPr>
          <w:rFonts w:ascii="Garamond" w:eastAsia="Calibri" w:hAnsi="Garamond" w:cs="Sanskrit Text"/>
          <w:color w:val="000000"/>
          <w:sz w:val="24"/>
          <w:szCs w:val="24"/>
        </w:rPr>
        <w:t xml:space="preserve">For </w:t>
      </w:r>
      <w:r w:rsidR="00540AF2" w:rsidRPr="001A23D9">
        <w:rPr>
          <w:rFonts w:ascii="Garamond" w:eastAsia="Calibri" w:hAnsi="Garamond" w:cs="Sanskrit Text"/>
          <w:color w:val="000000"/>
          <w:sz w:val="24"/>
          <w:szCs w:val="24"/>
        </w:rPr>
        <w:t>operating property, the income approach is based on the premise that value can be represented by the present worth of future benefits derived f</w:t>
      </w:r>
      <w:r w:rsidR="003F25EA" w:rsidRPr="001A23D9">
        <w:rPr>
          <w:rFonts w:ascii="Garamond" w:eastAsia="Calibri" w:hAnsi="Garamond" w:cs="Sanskrit Text"/>
          <w:color w:val="000000"/>
          <w:sz w:val="24"/>
          <w:szCs w:val="24"/>
        </w:rPr>
        <w:t>ro</w:t>
      </w:r>
      <w:r w:rsidR="00540AF2" w:rsidRPr="001A23D9">
        <w:rPr>
          <w:rFonts w:ascii="Garamond" w:eastAsia="Calibri" w:hAnsi="Garamond" w:cs="Sanskrit Text"/>
          <w:color w:val="000000"/>
          <w:sz w:val="24"/>
          <w:szCs w:val="24"/>
        </w:rPr>
        <w:t>m the ownership, use</w:t>
      </w:r>
      <w:r w:rsidR="00EC11AA" w:rsidRPr="001A23D9">
        <w:rPr>
          <w:rFonts w:ascii="Garamond" w:eastAsia="Calibri" w:hAnsi="Garamond" w:cs="Sanskrit Text"/>
          <w:color w:val="000000"/>
          <w:sz w:val="24"/>
          <w:szCs w:val="24"/>
        </w:rPr>
        <w:t xml:space="preserve"> </w:t>
      </w:r>
      <w:r w:rsidR="00540AF2" w:rsidRPr="001A23D9">
        <w:rPr>
          <w:rFonts w:ascii="Garamond" w:eastAsia="Calibri" w:hAnsi="Garamond" w:cs="Sanskrit Text"/>
          <w:color w:val="000000"/>
          <w:sz w:val="24"/>
          <w:szCs w:val="24"/>
        </w:rPr>
        <w:t>or operation of the uni</w:t>
      </w:r>
      <w:r w:rsidR="00DD5D1F" w:rsidRPr="001A23D9">
        <w:rPr>
          <w:rFonts w:ascii="Garamond" w:eastAsia="Calibri" w:hAnsi="Garamond" w:cs="Sanskrit Text"/>
          <w:color w:val="000000"/>
          <w:sz w:val="24"/>
          <w:szCs w:val="24"/>
        </w:rPr>
        <w:t>t.</w:t>
      </w:r>
      <w:r w:rsidR="00B84997" w:rsidRPr="001A23D9">
        <w:rPr>
          <w:rStyle w:val="FootnoteReference"/>
          <w:rFonts w:ascii="Garamond" w:eastAsia="Calibri" w:hAnsi="Garamond" w:cs="Sanskrit Text"/>
          <w:color w:val="000000"/>
          <w:sz w:val="24"/>
          <w:szCs w:val="24"/>
        </w:rPr>
        <w:footnoteReference w:id="3"/>
      </w:r>
      <w:r w:rsidR="00DD5D1F" w:rsidRPr="001A23D9">
        <w:rPr>
          <w:rFonts w:ascii="Garamond" w:eastAsia="Calibri" w:hAnsi="Garamond" w:cs="Sanskrit Text"/>
          <w:color w:val="000000"/>
          <w:sz w:val="24"/>
          <w:szCs w:val="24"/>
        </w:rPr>
        <w:t xml:space="preserve"> </w:t>
      </w:r>
    </w:p>
    <w:p w14:paraId="2C9D7338" w14:textId="46D8D882" w:rsidR="0056059E" w:rsidRPr="001A23D9" w:rsidRDefault="00DD5D1F" w:rsidP="002766F7">
      <w:pPr>
        <w:spacing w:after="160" w:line="259" w:lineRule="auto"/>
        <w:rPr>
          <w:rFonts w:ascii="Garamond" w:eastAsia="Calibri" w:hAnsi="Garamond" w:cs="Sanskrit Text"/>
          <w:color w:val="000000"/>
          <w:sz w:val="24"/>
          <w:szCs w:val="24"/>
        </w:rPr>
      </w:pPr>
      <w:r w:rsidRPr="001A23D9">
        <w:rPr>
          <w:rFonts w:ascii="Garamond" w:eastAsia="Calibri" w:hAnsi="Garamond" w:cs="Sanskrit Text"/>
          <w:color w:val="000000"/>
          <w:sz w:val="24"/>
          <w:szCs w:val="24"/>
        </w:rPr>
        <w:t>The</w:t>
      </w:r>
      <w:r w:rsidR="0056059E" w:rsidRPr="001A23D9">
        <w:rPr>
          <w:rFonts w:ascii="Garamond" w:eastAsia="Calibri" w:hAnsi="Garamond" w:cs="Sanskrit Text"/>
          <w:color w:val="000000"/>
          <w:sz w:val="24"/>
          <w:szCs w:val="24"/>
        </w:rPr>
        <w:t xml:space="preserve"> </w:t>
      </w:r>
      <w:r w:rsidRPr="001A23D9">
        <w:rPr>
          <w:rFonts w:ascii="Garamond" w:eastAsia="Calibri" w:hAnsi="Garamond" w:cs="Sanskrit Text"/>
          <w:color w:val="000000"/>
          <w:sz w:val="24"/>
          <w:szCs w:val="24"/>
        </w:rPr>
        <w:t xml:space="preserve">Appraisal Handbook published by </w:t>
      </w:r>
      <w:r w:rsidR="0056059E" w:rsidRPr="001A23D9">
        <w:rPr>
          <w:rFonts w:ascii="Garamond" w:eastAsia="Calibri" w:hAnsi="Garamond" w:cs="Sanskrit Text"/>
          <w:color w:val="000000"/>
          <w:sz w:val="24"/>
          <w:szCs w:val="24"/>
        </w:rPr>
        <w:t xml:space="preserve">WSATA-CCAP </w:t>
      </w:r>
      <w:r w:rsidRPr="001A23D9">
        <w:rPr>
          <w:rFonts w:ascii="Garamond" w:eastAsia="Calibri" w:hAnsi="Garamond" w:cs="Sanskrit Text"/>
          <w:color w:val="000000"/>
          <w:sz w:val="24"/>
          <w:szCs w:val="24"/>
        </w:rPr>
        <w:t>states the following:</w:t>
      </w:r>
    </w:p>
    <w:p w14:paraId="2F59FD8B" w14:textId="7D4CC1DA" w:rsidR="0056059E" w:rsidRPr="001A23D9" w:rsidRDefault="004A2F3C" w:rsidP="00C615B5">
      <w:pPr>
        <w:spacing w:after="160" w:line="259" w:lineRule="auto"/>
        <w:ind w:left="720"/>
        <w:rPr>
          <w:rFonts w:ascii="Garamond" w:eastAsia="Calibri" w:hAnsi="Garamond" w:cs="Sanskrit Text"/>
          <w:color w:val="000000"/>
          <w:sz w:val="24"/>
          <w:szCs w:val="24"/>
        </w:rPr>
      </w:pPr>
      <w:r w:rsidRPr="001A23D9">
        <w:rPr>
          <w:rFonts w:ascii="Garamond" w:eastAsia="Calibri" w:hAnsi="Garamond" w:cs="Sanskrit Text"/>
          <w:color w:val="000000"/>
          <w:sz w:val="24"/>
          <w:szCs w:val="24"/>
        </w:rPr>
        <w:t>“</w:t>
      </w:r>
      <w:r w:rsidR="0056059E" w:rsidRPr="001A23D9">
        <w:rPr>
          <w:rFonts w:ascii="Garamond" w:eastAsia="Calibri" w:hAnsi="Garamond" w:cs="Sanskrit Text"/>
          <w:color w:val="000000"/>
          <w:sz w:val="24"/>
          <w:szCs w:val="24"/>
        </w:rPr>
        <w:t>Application of the income approach requires estimating future annual income for a period of time and converting income into a value estimate by means of a capitalization rate or present worth factor.</w:t>
      </w:r>
      <w:r w:rsidRPr="001A23D9">
        <w:rPr>
          <w:rStyle w:val="FootnoteReference"/>
          <w:rFonts w:ascii="Garamond" w:eastAsia="Calibri" w:hAnsi="Garamond" w:cs="Sanskrit Text"/>
          <w:color w:val="000000"/>
          <w:sz w:val="24"/>
          <w:szCs w:val="24"/>
          <w:vertAlign w:val="baseline"/>
        </w:rPr>
        <w:t>”</w:t>
      </w:r>
      <w:r w:rsidR="00DD5D1F" w:rsidRPr="001A23D9">
        <w:rPr>
          <w:rStyle w:val="FootnoteReference"/>
          <w:rFonts w:ascii="Garamond" w:eastAsia="Calibri" w:hAnsi="Garamond" w:cs="Sanskrit Text"/>
          <w:color w:val="000000"/>
          <w:sz w:val="24"/>
          <w:szCs w:val="24"/>
        </w:rPr>
        <w:footnoteReference w:id="4"/>
      </w:r>
      <w:r w:rsidR="0056059E" w:rsidRPr="001A23D9">
        <w:rPr>
          <w:rFonts w:ascii="Garamond" w:eastAsia="Calibri" w:hAnsi="Garamond" w:cs="Sanskrit Text"/>
          <w:color w:val="000000"/>
          <w:sz w:val="24"/>
          <w:szCs w:val="24"/>
        </w:rPr>
        <w:t xml:space="preserve">  </w:t>
      </w:r>
    </w:p>
    <w:p w14:paraId="0897864A" w14:textId="0D63FCA2" w:rsidR="000510A8" w:rsidRPr="001A23D9" w:rsidRDefault="00CE75A9" w:rsidP="00B770A9">
      <w:pPr>
        <w:spacing w:after="160" w:line="259" w:lineRule="auto"/>
        <w:rPr>
          <w:rFonts w:ascii="Garamond" w:eastAsia="Calibri" w:hAnsi="Garamond" w:cs="Sanskrit Text"/>
          <w:color w:val="000000"/>
          <w:sz w:val="24"/>
          <w:szCs w:val="24"/>
        </w:rPr>
      </w:pPr>
      <w:r w:rsidRPr="001A23D9">
        <w:rPr>
          <w:rFonts w:ascii="Garamond" w:eastAsia="Calibri" w:hAnsi="Garamond" w:cs="Sanskrit Text"/>
          <w:color w:val="000000"/>
          <w:sz w:val="24"/>
          <w:szCs w:val="24"/>
        </w:rPr>
        <w:t xml:space="preserve">The </w:t>
      </w:r>
      <w:r w:rsidR="009F31B6">
        <w:rPr>
          <w:rFonts w:ascii="Garamond" w:eastAsia="Calibri" w:hAnsi="Garamond" w:cs="Sanskrit Text"/>
          <w:color w:val="000000"/>
          <w:sz w:val="24"/>
          <w:szCs w:val="24"/>
        </w:rPr>
        <w:t>i</w:t>
      </w:r>
      <w:r w:rsidRPr="001A23D9">
        <w:rPr>
          <w:rFonts w:ascii="Garamond" w:eastAsia="Calibri" w:hAnsi="Garamond" w:cs="Sanskrit Text"/>
          <w:color w:val="000000"/>
          <w:sz w:val="24"/>
          <w:szCs w:val="24"/>
        </w:rPr>
        <w:t xml:space="preserve">ncome </w:t>
      </w:r>
      <w:r w:rsidR="009F31B6">
        <w:rPr>
          <w:rFonts w:ascii="Garamond" w:eastAsia="Calibri" w:hAnsi="Garamond" w:cs="Sanskrit Text"/>
          <w:color w:val="000000"/>
          <w:sz w:val="24"/>
          <w:szCs w:val="24"/>
        </w:rPr>
        <w:t>a</w:t>
      </w:r>
      <w:r w:rsidRPr="001A23D9">
        <w:rPr>
          <w:rFonts w:ascii="Garamond" w:eastAsia="Calibri" w:hAnsi="Garamond" w:cs="Sanskrit Text"/>
          <w:color w:val="000000"/>
          <w:sz w:val="24"/>
          <w:szCs w:val="24"/>
        </w:rPr>
        <w:t xml:space="preserve">pproach </w:t>
      </w:r>
      <w:r w:rsidR="00C74DB7" w:rsidRPr="001A23D9">
        <w:rPr>
          <w:rFonts w:ascii="Garamond" w:eastAsia="Calibri" w:hAnsi="Garamond" w:cs="Sanskrit Text"/>
          <w:color w:val="000000"/>
          <w:sz w:val="24"/>
          <w:szCs w:val="24"/>
        </w:rPr>
        <w:t xml:space="preserve">in its most basic form </w:t>
      </w:r>
      <w:r w:rsidR="0056059E" w:rsidRPr="001A23D9">
        <w:rPr>
          <w:rFonts w:ascii="Garamond" w:eastAsia="Calibri" w:hAnsi="Garamond" w:cs="Sanskrit Text"/>
          <w:color w:val="000000"/>
          <w:sz w:val="24"/>
          <w:szCs w:val="24"/>
        </w:rPr>
        <w:t xml:space="preserve">is expressed </w:t>
      </w:r>
      <w:r w:rsidR="001E5AC5" w:rsidRPr="001A23D9">
        <w:rPr>
          <w:rFonts w:ascii="Garamond" w:eastAsia="Calibri" w:hAnsi="Garamond" w:cs="Sanskrit Text"/>
          <w:color w:val="000000"/>
          <w:sz w:val="24"/>
          <w:szCs w:val="24"/>
        </w:rPr>
        <w:t>by the following equation</w:t>
      </w:r>
      <w:r w:rsidR="0056059E" w:rsidRPr="001A23D9">
        <w:rPr>
          <w:rFonts w:ascii="Garamond" w:eastAsia="Calibri" w:hAnsi="Garamond" w:cs="Sanskrit Text"/>
          <w:color w:val="000000"/>
          <w:sz w:val="24"/>
          <w:szCs w:val="24"/>
        </w:rPr>
        <w:t>:</w:t>
      </w:r>
      <w:r w:rsidR="001E5AC5" w:rsidRPr="001A23D9">
        <w:rPr>
          <w:rFonts w:ascii="Garamond" w:eastAsia="Calibri" w:hAnsi="Garamond" w:cs="Sanskrit Text"/>
          <w:color w:val="000000"/>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5"/>
        <w:gridCol w:w="284"/>
        <w:gridCol w:w="2610"/>
      </w:tblGrid>
      <w:tr w:rsidR="00B770A9" w:rsidRPr="001A23D9" w14:paraId="171C61E6" w14:textId="77777777" w:rsidTr="00B770A9">
        <w:trPr>
          <w:trHeight w:val="395"/>
          <w:jc w:val="center"/>
        </w:trPr>
        <w:tc>
          <w:tcPr>
            <w:tcW w:w="4959" w:type="dxa"/>
            <w:gridSpan w:val="3"/>
          </w:tcPr>
          <w:p w14:paraId="58217899" w14:textId="77777777" w:rsidR="00B770A9" w:rsidRPr="001A23D9" w:rsidRDefault="00B770A9" w:rsidP="003A6E31">
            <w:pPr>
              <w:spacing w:after="160"/>
              <w:jc w:val="center"/>
              <w:rPr>
                <w:rFonts w:ascii="Garamond" w:eastAsia="Calibri" w:hAnsi="Garamond" w:cs="Sanskrit Text"/>
                <w:color w:val="000000"/>
                <w:sz w:val="24"/>
                <w:szCs w:val="24"/>
              </w:rPr>
            </w:pPr>
            <w:r w:rsidRPr="001A23D9">
              <w:rPr>
                <w:rFonts w:ascii="Garamond" w:eastAsia="Calibri" w:hAnsi="Garamond" w:cs="Sanskrit Text"/>
                <w:b/>
                <w:bCs/>
                <w:color w:val="000000"/>
                <w:sz w:val="24"/>
                <w:szCs w:val="24"/>
              </w:rPr>
              <w:t>V = I/R</w:t>
            </w:r>
          </w:p>
        </w:tc>
      </w:tr>
      <w:tr w:rsidR="00B770A9" w:rsidRPr="001A23D9" w14:paraId="071E6D20" w14:textId="77777777" w:rsidTr="00B770A9">
        <w:trPr>
          <w:jc w:val="center"/>
        </w:trPr>
        <w:tc>
          <w:tcPr>
            <w:tcW w:w="2065" w:type="dxa"/>
          </w:tcPr>
          <w:p w14:paraId="36E45FA4" w14:textId="77777777" w:rsidR="00B770A9" w:rsidRPr="001A23D9" w:rsidRDefault="00B770A9" w:rsidP="003A6E31">
            <w:pPr>
              <w:tabs>
                <w:tab w:val="left" w:pos="1671"/>
              </w:tabs>
              <w:jc w:val="right"/>
              <w:rPr>
                <w:rFonts w:ascii="Garamond" w:hAnsi="Garamond" w:cs="Sanskrit Text"/>
                <w:sz w:val="24"/>
                <w:szCs w:val="24"/>
              </w:rPr>
            </w:pPr>
            <w:r w:rsidRPr="001A23D9">
              <w:rPr>
                <w:rFonts w:ascii="Garamond" w:hAnsi="Garamond" w:cs="Sanskrit Text"/>
                <w:sz w:val="24"/>
                <w:szCs w:val="24"/>
              </w:rPr>
              <w:t xml:space="preserve">Where: </w:t>
            </w:r>
          </w:p>
        </w:tc>
        <w:tc>
          <w:tcPr>
            <w:tcW w:w="284" w:type="dxa"/>
          </w:tcPr>
          <w:p w14:paraId="7235DB0F" w14:textId="77777777" w:rsidR="00B770A9" w:rsidRPr="001A23D9" w:rsidRDefault="00B770A9" w:rsidP="003A6E31">
            <w:pPr>
              <w:tabs>
                <w:tab w:val="left" w:pos="1671"/>
              </w:tabs>
              <w:rPr>
                <w:rFonts w:ascii="Garamond" w:hAnsi="Garamond" w:cs="Sanskrit Text"/>
                <w:sz w:val="24"/>
                <w:szCs w:val="24"/>
              </w:rPr>
            </w:pPr>
            <w:r w:rsidRPr="001A23D9">
              <w:rPr>
                <w:rFonts w:ascii="Garamond" w:hAnsi="Garamond" w:cs="Sanskrit Text"/>
                <w:sz w:val="24"/>
                <w:szCs w:val="24"/>
              </w:rPr>
              <w:t>V</w:t>
            </w:r>
          </w:p>
        </w:tc>
        <w:tc>
          <w:tcPr>
            <w:tcW w:w="2610" w:type="dxa"/>
          </w:tcPr>
          <w:p w14:paraId="1721CF67" w14:textId="77777777" w:rsidR="00B770A9" w:rsidRPr="001A23D9" w:rsidRDefault="00B770A9" w:rsidP="003A6E31">
            <w:pPr>
              <w:tabs>
                <w:tab w:val="left" w:pos="1671"/>
              </w:tabs>
              <w:rPr>
                <w:rFonts w:ascii="Garamond" w:hAnsi="Garamond" w:cs="Sanskrit Text"/>
                <w:sz w:val="24"/>
                <w:szCs w:val="24"/>
              </w:rPr>
            </w:pPr>
            <w:r w:rsidRPr="001A23D9">
              <w:rPr>
                <w:rFonts w:ascii="Garamond" w:hAnsi="Garamond" w:cs="Sanskrit Text"/>
                <w:sz w:val="24"/>
                <w:szCs w:val="24"/>
              </w:rPr>
              <w:t>= Value</w:t>
            </w:r>
          </w:p>
        </w:tc>
      </w:tr>
      <w:tr w:rsidR="00B770A9" w:rsidRPr="001A23D9" w14:paraId="528C5E0B" w14:textId="77777777" w:rsidTr="00B770A9">
        <w:trPr>
          <w:jc w:val="center"/>
        </w:trPr>
        <w:tc>
          <w:tcPr>
            <w:tcW w:w="2065" w:type="dxa"/>
          </w:tcPr>
          <w:p w14:paraId="354D1BC6" w14:textId="77777777" w:rsidR="00B770A9" w:rsidRPr="001A23D9" w:rsidRDefault="00B770A9" w:rsidP="003A6E31">
            <w:pPr>
              <w:tabs>
                <w:tab w:val="left" w:pos="1671"/>
              </w:tabs>
              <w:rPr>
                <w:rFonts w:ascii="Garamond" w:hAnsi="Garamond" w:cs="Sanskrit Text"/>
                <w:sz w:val="24"/>
                <w:szCs w:val="24"/>
              </w:rPr>
            </w:pPr>
          </w:p>
        </w:tc>
        <w:tc>
          <w:tcPr>
            <w:tcW w:w="284" w:type="dxa"/>
          </w:tcPr>
          <w:p w14:paraId="6A2F48C7" w14:textId="77777777" w:rsidR="00B770A9" w:rsidRPr="001A23D9" w:rsidRDefault="00B770A9" w:rsidP="003A6E31">
            <w:pPr>
              <w:tabs>
                <w:tab w:val="left" w:pos="1671"/>
              </w:tabs>
              <w:rPr>
                <w:rFonts w:ascii="Garamond" w:hAnsi="Garamond" w:cs="Sanskrit Text"/>
                <w:sz w:val="24"/>
                <w:szCs w:val="24"/>
              </w:rPr>
            </w:pPr>
            <w:r w:rsidRPr="001A23D9">
              <w:rPr>
                <w:rFonts w:ascii="Garamond" w:hAnsi="Garamond" w:cs="Sanskrit Text"/>
                <w:sz w:val="24"/>
                <w:szCs w:val="24"/>
              </w:rPr>
              <w:t>I</w:t>
            </w:r>
          </w:p>
        </w:tc>
        <w:tc>
          <w:tcPr>
            <w:tcW w:w="2610" w:type="dxa"/>
          </w:tcPr>
          <w:p w14:paraId="3307EFEE" w14:textId="77777777" w:rsidR="00B770A9" w:rsidRPr="001A23D9" w:rsidRDefault="00B770A9" w:rsidP="003A6E31">
            <w:pPr>
              <w:tabs>
                <w:tab w:val="left" w:pos="1671"/>
              </w:tabs>
              <w:rPr>
                <w:rFonts w:ascii="Garamond" w:hAnsi="Garamond" w:cs="Sanskrit Text"/>
                <w:sz w:val="24"/>
                <w:szCs w:val="24"/>
              </w:rPr>
            </w:pPr>
            <w:r w:rsidRPr="001A23D9">
              <w:rPr>
                <w:rFonts w:ascii="Garamond" w:hAnsi="Garamond" w:cs="Sanskrit Text"/>
                <w:sz w:val="24"/>
                <w:szCs w:val="24"/>
              </w:rPr>
              <w:t>= Income</w:t>
            </w:r>
          </w:p>
        </w:tc>
      </w:tr>
      <w:tr w:rsidR="00B770A9" w:rsidRPr="001A23D9" w14:paraId="18B626A5" w14:textId="77777777" w:rsidTr="00B770A9">
        <w:trPr>
          <w:jc w:val="center"/>
        </w:trPr>
        <w:tc>
          <w:tcPr>
            <w:tcW w:w="2065" w:type="dxa"/>
          </w:tcPr>
          <w:p w14:paraId="6E00AB01" w14:textId="77777777" w:rsidR="00B770A9" w:rsidRPr="001A23D9" w:rsidRDefault="00B770A9" w:rsidP="003A6E31">
            <w:pPr>
              <w:tabs>
                <w:tab w:val="left" w:pos="1671"/>
              </w:tabs>
              <w:rPr>
                <w:rFonts w:ascii="Garamond" w:hAnsi="Garamond" w:cs="Sanskrit Text"/>
                <w:sz w:val="24"/>
                <w:szCs w:val="24"/>
              </w:rPr>
            </w:pPr>
          </w:p>
        </w:tc>
        <w:tc>
          <w:tcPr>
            <w:tcW w:w="284" w:type="dxa"/>
          </w:tcPr>
          <w:p w14:paraId="2AAD2B7E" w14:textId="77777777" w:rsidR="00B770A9" w:rsidRPr="001A23D9" w:rsidRDefault="00B770A9" w:rsidP="003A6E31">
            <w:pPr>
              <w:tabs>
                <w:tab w:val="left" w:pos="1671"/>
              </w:tabs>
              <w:rPr>
                <w:rFonts w:ascii="Garamond" w:hAnsi="Garamond" w:cs="Sanskrit Text"/>
                <w:sz w:val="24"/>
                <w:szCs w:val="24"/>
              </w:rPr>
            </w:pPr>
            <w:r w:rsidRPr="001A23D9">
              <w:rPr>
                <w:rFonts w:ascii="Garamond" w:hAnsi="Garamond" w:cs="Sanskrit Text"/>
                <w:sz w:val="24"/>
                <w:szCs w:val="24"/>
              </w:rPr>
              <w:t>R</w:t>
            </w:r>
          </w:p>
        </w:tc>
        <w:tc>
          <w:tcPr>
            <w:tcW w:w="2610" w:type="dxa"/>
          </w:tcPr>
          <w:p w14:paraId="506A4A6D" w14:textId="77777777" w:rsidR="00B770A9" w:rsidRPr="001A23D9" w:rsidRDefault="00B770A9" w:rsidP="003A6E31">
            <w:pPr>
              <w:tabs>
                <w:tab w:val="left" w:pos="1671"/>
              </w:tabs>
              <w:rPr>
                <w:rFonts w:ascii="Garamond" w:hAnsi="Garamond" w:cs="Sanskrit Text"/>
                <w:sz w:val="24"/>
                <w:szCs w:val="24"/>
              </w:rPr>
            </w:pPr>
            <w:r w:rsidRPr="001A23D9">
              <w:rPr>
                <w:rFonts w:ascii="Garamond" w:hAnsi="Garamond" w:cs="Sanskrit Text"/>
                <w:sz w:val="24"/>
                <w:szCs w:val="24"/>
              </w:rPr>
              <w:t>= Rate</w:t>
            </w:r>
          </w:p>
        </w:tc>
      </w:tr>
    </w:tbl>
    <w:p w14:paraId="4B4238F2" w14:textId="705DA883" w:rsidR="002900A0" w:rsidRPr="001A23D9" w:rsidRDefault="00935E67" w:rsidP="00B770A9">
      <w:pPr>
        <w:spacing w:before="160" w:after="160" w:line="259" w:lineRule="auto"/>
        <w:rPr>
          <w:rFonts w:ascii="Garamond" w:eastAsia="Calibri" w:hAnsi="Garamond" w:cs="Sanskrit Text"/>
          <w:color w:val="000000"/>
          <w:sz w:val="24"/>
          <w:szCs w:val="24"/>
        </w:rPr>
      </w:pPr>
      <w:r w:rsidRPr="001A23D9">
        <w:rPr>
          <w:rFonts w:ascii="Garamond" w:eastAsia="Calibri" w:hAnsi="Garamond" w:cs="Sanskrit Text"/>
          <w:color w:val="000000"/>
          <w:sz w:val="24"/>
          <w:szCs w:val="24"/>
        </w:rPr>
        <w:t xml:space="preserve">The rate or present value factor </w:t>
      </w:r>
      <w:r w:rsidR="007967A6">
        <w:rPr>
          <w:rFonts w:ascii="Garamond" w:eastAsia="Calibri" w:hAnsi="Garamond" w:cs="Sanskrit Text"/>
          <w:color w:val="000000"/>
          <w:sz w:val="24"/>
          <w:szCs w:val="24"/>
        </w:rPr>
        <w:t>can be</w:t>
      </w:r>
      <w:r w:rsidR="00102D00" w:rsidRPr="001A23D9">
        <w:rPr>
          <w:rFonts w:ascii="Garamond" w:eastAsia="Calibri" w:hAnsi="Garamond" w:cs="Sanskrit Text"/>
          <w:color w:val="000000"/>
          <w:sz w:val="24"/>
          <w:szCs w:val="24"/>
        </w:rPr>
        <w:t xml:space="preserve"> </w:t>
      </w:r>
      <w:r w:rsidRPr="001A23D9">
        <w:rPr>
          <w:rFonts w:ascii="Garamond" w:eastAsia="Calibri" w:hAnsi="Garamond" w:cs="Sanskrit Text"/>
          <w:color w:val="000000"/>
          <w:sz w:val="24"/>
          <w:szCs w:val="24"/>
        </w:rPr>
        <w:t>referred to as a yield rate, the weighted average cost of capital (WACC), a discount rate,</w:t>
      </w:r>
      <w:r w:rsidR="00102D00" w:rsidRPr="001A23D9">
        <w:rPr>
          <w:rFonts w:ascii="Garamond" w:eastAsia="Calibri" w:hAnsi="Garamond" w:cs="Sanskrit Text"/>
          <w:color w:val="000000"/>
          <w:sz w:val="24"/>
          <w:szCs w:val="24"/>
        </w:rPr>
        <w:t xml:space="preserve"> </w:t>
      </w:r>
      <w:r w:rsidRPr="001A23D9">
        <w:rPr>
          <w:rFonts w:ascii="Garamond" w:eastAsia="Calibri" w:hAnsi="Garamond" w:cs="Sanskrit Text"/>
          <w:color w:val="000000"/>
          <w:sz w:val="24"/>
          <w:szCs w:val="24"/>
        </w:rPr>
        <w:t>a capitalization rate</w:t>
      </w:r>
      <w:r w:rsidR="00CA56E7">
        <w:rPr>
          <w:rFonts w:ascii="Garamond" w:eastAsia="Calibri" w:hAnsi="Garamond" w:cs="Sanskrit Text"/>
          <w:color w:val="000000"/>
          <w:sz w:val="24"/>
          <w:szCs w:val="24"/>
        </w:rPr>
        <w:t>, or an opportunity cost</w:t>
      </w:r>
      <w:r w:rsidRPr="001A23D9">
        <w:rPr>
          <w:rFonts w:ascii="Garamond" w:eastAsia="Calibri" w:hAnsi="Garamond" w:cs="Sanskrit Text"/>
          <w:color w:val="000000"/>
          <w:sz w:val="24"/>
          <w:szCs w:val="24"/>
        </w:rPr>
        <w:t>.</w:t>
      </w:r>
    </w:p>
    <w:p w14:paraId="42EC8051" w14:textId="7F8C1866" w:rsidR="00D8380C" w:rsidRPr="001A23D9" w:rsidRDefault="0056059E" w:rsidP="002766F7">
      <w:pPr>
        <w:spacing w:after="160" w:line="259" w:lineRule="auto"/>
        <w:rPr>
          <w:rFonts w:ascii="Garamond" w:eastAsia="Calibri" w:hAnsi="Garamond" w:cs="Sanskrit Text"/>
          <w:color w:val="000000"/>
          <w:sz w:val="24"/>
          <w:szCs w:val="24"/>
        </w:rPr>
      </w:pPr>
      <w:r w:rsidRPr="001A23D9">
        <w:rPr>
          <w:rFonts w:ascii="Garamond" w:eastAsia="Calibri" w:hAnsi="Garamond" w:cs="Sanskrit Text"/>
          <w:color w:val="000000"/>
          <w:sz w:val="24"/>
          <w:szCs w:val="24"/>
        </w:rPr>
        <w:t xml:space="preserve">It is the </w:t>
      </w:r>
      <w:r w:rsidR="009C1353">
        <w:rPr>
          <w:rFonts w:ascii="Garamond" w:eastAsia="Calibri" w:hAnsi="Garamond" w:cs="Sanskrit Text"/>
          <w:color w:val="000000"/>
          <w:sz w:val="24"/>
          <w:szCs w:val="24"/>
        </w:rPr>
        <w:t>determination</w:t>
      </w:r>
      <w:r w:rsidRPr="001A23D9">
        <w:rPr>
          <w:rFonts w:ascii="Garamond" w:eastAsia="Calibri" w:hAnsi="Garamond" w:cs="Sanskrit Text"/>
          <w:color w:val="000000"/>
          <w:sz w:val="24"/>
          <w:szCs w:val="24"/>
        </w:rPr>
        <w:t xml:space="preserve"> of the rate applicable in the </w:t>
      </w:r>
      <w:r w:rsidR="009F31B6">
        <w:rPr>
          <w:rFonts w:ascii="Garamond" w:eastAsia="Calibri" w:hAnsi="Garamond" w:cs="Sanskrit Text"/>
          <w:color w:val="000000"/>
          <w:sz w:val="24"/>
          <w:szCs w:val="24"/>
        </w:rPr>
        <w:t>i</w:t>
      </w:r>
      <w:r w:rsidRPr="001A23D9">
        <w:rPr>
          <w:rFonts w:ascii="Garamond" w:eastAsia="Calibri" w:hAnsi="Garamond" w:cs="Sanskrit Text"/>
          <w:color w:val="000000"/>
          <w:sz w:val="24"/>
          <w:szCs w:val="24"/>
        </w:rPr>
        <w:t xml:space="preserve">ncome </w:t>
      </w:r>
      <w:r w:rsidR="009F31B6">
        <w:rPr>
          <w:rFonts w:ascii="Garamond" w:eastAsia="Calibri" w:hAnsi="Garamond" w:cs="Sanskrit Text"/>
          <w:color w:val="000000"/>
          <w:sz w:val="24"/>
          <w:szCs w:val="24"/>
        </w:rPr>
        <w:t>a</w:t>
      </w:r>
      <w:r w:rsidRPr="001A23D9">
        <w:rPr>
          <w:rFonts w:ascii="Garamond" w:eastAsia="Calibri" w:hAnsi="Garamond" w:cs="Sanskrit Text"/>
          <w:color w:val="000000"/>
          <w:sz w:val="24"/>
          <w:szCs w:val="24"/>
        </w:rPr>
        <w:t xml:space="preserve">pproach equation </w:t>
      </w:r>
      <w:r w:rsidR="006A1A93" w:rsidRPr="001A23D9">
        <w:rPr>
          <w:rFonts w:ascii="Garamond" w:eastAsia="Calibri" w:hAnsi="Garamond" w:cs="Sanskrit Text"/>
          <w:color w:val="000000"/>
          <w:sz w:val="24"/>
          <w:szCs w:val="24"/>
        </w:rPr>
        <w:t xml:space="preserve">above </w:t>
      </w:r>
      <w:r w:rsidRPr="001A23D9">
        <w:rPr>
          <w:rFonts w:ascii="Garamond" w:eastAsia="Calibri" w:hAnsi="Garamond" w:cs="Sanskrit Text"/>
          <w:color w:val="000000"/>
          <w:sz w:val="24"/>
          <w:szCs w:val="24"/>
        </w:rPr>
        <w:t>that is the subject of this document.</w:t>
      </w:r>
      <w:r w:rsidR="00935E67" w:rsidRPr="001A23D9">
        <w:rPr>
          <w:rFonts w:ascii="Garamond" w:eastAsia="Calibri" w:hAnsi="Garamond" w:cs="Sanskrit Text"/>
          <w:color w:val="000000"/>
          <w:sz w:val="24"/>
          <w:szCs w:val="24"/>
        </w:rPr>
        <w:t xml:space="preserve"> </w:t>
      </w:r>
    </w:p>
    <w:p w14:paraId="3720EE17" w14:textId="4DF6D2E0" w:rsidR="00D8380C" w:rsidRPr="001A23D9" w:rsidRDefault="00D8380C" w:rsidP="002766F7">
      <w:pPr>
        <w:spacing w:after="160" w:line="259" w:lineRule="auto"/>
        <w:rPr>
          <w:rFonts w:ascii="Garamond" w:eastAsia="Calibri" w:hAnsi="Garamond" w:cs="Sanskrit Text"/>
          <w:color w:val="000000"/>
          <w:sz w:val="24"/>
          <w:szCs w:val="24"/>
        </w:rPr>
      </w:pPr>
      <w:r w:rsidRPr="001A23D9">
        <w:rPr>
          <w:rFonts w:ascii="Garamond" w:eastAsia="Calibri" w:hAnsi="Garamond" w:cs="Sanskrit Text"/>
          <w:color w:val="000000"/>
          <w:sz w:val="24"/>
          <w:szCs w:val="24"/>
        </w:rPr>
        <w:t xml:space="preserve">The first step in evaluating the appropriate yield rate is to select a group of publicly traded guideline companies.  </w:t>
      </w:r>
    </w:p>
    <w:p w14:paraId="146E3EA1" w14:textId="3FE1298E" w:rsidR="001F547F" w:rsidRPr="001A23D9" w:rsidRDefault="004717B0" w:rsidP="00DD0196">
      <w:pPr>
        <w:spacing w:after="160" w:line="259" w:lineRule="auto"/>
        <w:rPr>
          <w:rFonts w:ascii="Garamond" w:eastAsia="Calibri" w:hAnsi="Garamond" w:cs="Sanskrit Text"/>
          <w:b/>
          <w:bCs/>
          <w:sz w:val="24"/>
          <w:szCs w:val="24"/>
          <w:u w:val="single"/>
        </w:rPr>
      </w:pPr>
      <w:r w:rsidRPr="001A23D9">
        <w:rPr>
          <w:rFonts w:ascii="Garamond" w:eastAsia="Calibri" w:hAnsi="Garamond" w:cs="Sanskrit Text"/>
          <w:b/>
          <w:bCs/>
          <w:sz w:val="24"/>
          <w:szCs w:val="24"/>
          <w:u w:val="single"/>
        </w:rPr>
        <w:t>GUIDELINE COMPANIES</w:t>
      </w:r>
    </w:p>
    <w:p w14:paraId="646569FF" w14:textId="01E477CC" w:rsidR="001F547F" w:rsidRPr="001A23D9" w:rsidRDefault="001F547F" w:rsidP="00DD0196">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Market data from </w:t>
      </w:r>
      <w:r w:rsidR="00D11A5D" w:rsidRPr="001A23D9">
        <w:rPr>
          <w:rFonts w:ascii="Garamond" w:eastAsia="Calibri" w:hAnsi="Garamond" w:cs="Sanskrit Text"/>
          <w:sz w:val="24"/>
          <w:szCs w:val="24"/>
        </w:rPr>
        <w:t>publicly traded</w:t>
      </w:r>
      <w:r w:rsidRPr="001A23D9">
        <w:rPr>
          <w:rFonts w:ascii="Garamond" w:eastAsia="Calibri" w:hAnsi="Garamond" w:cs="Sanskrit Text"/>
          <w:sz w:val="24"/>
          <w:szCs w:val="24"/>
        </w:rPr>
        <w:t xml:space="preserve"> guideline companies provides a proxy for the market. </w:t>
      </w:r>
      <w:r w:rsidR="002D4C05">
        <w:rPr>
          <w:rFonts w:ascii="Garamond" w:eastAsia="Calibri" w:hAnsi="Garamond" w:cs="Sanskrit Text"/>
          <w:sz w:val="24"/>
          <w:szCs w:val="24"/>
        </w:rPr>
        <w:t>By evaluating and analyzing this</w:t>
      </w:r>
      <w:r w:rsidR="00AE5B8A" w:rsidRPr="001A23D9">
        <w:rPr>
          <w:rFonts w:ascii="Garamond" w:eastAsia="Calibri" w:hAnsi="Garamond" w:cs="Sanskrit Text"/>
          <w:sz w:val="24"/>
          <w:szCs w:val="24"/>
        </w:rPr>
        <w:t xml:space="preserve"> </w:t>
      </w:r>
      <w:r w:rsidR="00D11A5D" w:rsidRPr="001A23D9">
        <w:rPr>
          <w:rFonts w:ascii="Garamond" w:eastAsia="Calibri" w:hAnsi="Garamond" w:cs="Sanskrit Text"/>
          <w:sz w:val="24"/>
          <w:szCs w:val="24"/>
        </w:rPr>
        <w:t xml:space="preserve">readily available </w:t>
      </w:r>
      <w:r w:rsidR="00F30722" w:rsidRPr="001A23D9">
        <w:rPr>
          <w:rFonts w:ascii="Garamond" w:eastAsia="Calibri" w:hAnsi="Garamond" w:cs="Sanskrit Text"/>
          <w:sz w:val="24"/>
          <w:szCs w:val="24"/>
        </w:rPr>
        <w:t>da</w:t>
      </w:r>
      <w:r w:rsidR="00AE5B8A" w:rsidRPr="001A23D9">
        <w:rPr>
          <w:rFonts w:ascii="Garamond" w:eastAsia="Calibri" w:hAnsi="Garamond" w:cs="Sanskrit Text"/>
          <w:sz w:val="24"/>
          <w:szCs w:val="24"/>
        </w:rPr>
        <w:t xml:space="preserve">ta, </w:t>
      </w:r>
      <w:r w:rsidR="0066291C">
        <w:rPr>
          <w:rFonts w:ascii="Garamond" w:eastAsia="Calibri" w:hAnsi="Garamond" w:cs="Sanskrit Text"/>
          <w:sz w:val="24"/>
          <w:szCs w:val="24"/>
        </w:rPr>
        <w:t xml:space="preserve">we are able </w:t>
      </w:r>
      <w:r w:rsidR="00452A2B">
        <w:rPr>
          <w:rFonts w:ascii="Garamond" w:eastAsia="Calibri" w:hAnsi="Garamond" w:cs="Sanskrit Text"/>
          <w:sz w:val="24"/>
          <w:szCs w:val="24"/>
        </w:rPr>
        <w:t>d</w:t>
      </w:r>
      <w:r w:rsidR="00AE5B8A" w:rsidRPr="001A23D9">
        <w:rPr>
          <w:rFonts w:ascii="Garamond" w:eastAsia="Calibri" w:hAnsi="Garamond" w:cs="Sanskrit Text"/>
          <w:sz w:val="24"/>
          <w:szCs w:val="24"/>
        </w:rPr>
        <w:t>etermine a</w:t>
      </w:r>
      <w:r w:rsidR="00B171E0">
        <w:rPr>
          <w:rFonts w:ascii="Garamond" w:eastAsia="Calibri" w:hAnsi="Garamond" w:cs="Sanskrit Text"/>
          <w:sz w:val="24"/>
          <w:szCs w:val="24"/>
        </w:rPr>
        <w:t xml:space="preserve">n optimal </w:t>
      </w:r>
      <w:r w:rsidR="00AE5B8A" w:rsidRPr="001A23D9">
        <w:rPr>
          <w:rFonts w:ascii="Garamond" w:eastAsia="Calibri" w:hAnsi="Garamond" w:cs="Sanskrit Text"/>
          <w:sz w:val="24"/>
          <w:szCs w:val="24"/>
        </w:rPr>
        <w:t xml:space="preserve">capital structure, market cost of </w:t>
      </w:r>
      <w:r w:rsidR="00EC4620" w:rsidRPr="001A23D9">
        <w:rPr>
          <w:rFonts w:ascii="Garamond" w:eastAsia="Calibri" w:hAnsi="Garamond" w:cs="Sanskrit Text"/>
          <w:sz w:val="24"/>
          <w:szCs w:val="24"/>
        </w:rPr>
        <w:t>debt, and</w:t>
      </w:r>
      <w:r w:rsidR="00AE5B8A" w:rsidRPr="001A23D9">
        <w:rPr>
          <w:rFonts w:ascii="Garamond" w:eastAsia="Calibri" w:hAnsi="Garamond" w:cs="Sanskrit Text"/>
          <w:sz w:val="24"/>
          <w:szCs w:val="24"/>
        </w:rPr>
        <w:t xml:space="preserve"> market cost of equity</w:t>
      </w:r>
      <w:r w:rsidR="0077281E" w:rsidRPr="001A23D9">
        <w:rPr>
          <w:rFonts w:ascii="Garamond" w:eastAsia="Calibri" w:hAnsi="Garamond" w:cs="Sanskrit Text"/>
          <w:sz w:val="24"/>
          <w:szCs w:val="24"/>
        </w:rPr>
        <w:t xml:space="preserve"> for each state assessed industr</w:t>
      </w:r>
      <w:r w:rsidR="0042205D" w:rsidRPr="001A23D9">
        <w:rPr>
          <w:rFonts w:ascii="Garamond" w:eastAsia="Calibri" w:hAnsi="Garamond" w:cs="Sanskrit Text"/>
          <w:sz w:val="24"/>
          <w:szCs w:val="24"/>
        </w:rPr>
        <w:t>y</w:t>
      </w:r>
      <w:r w:rsidR="0077281E" w:rsidRPr="001A23D9">
        <w:rPr>
          <w:rFonts w:ascii="Garamond" w:eastAsia="Calibri" w:hAnsi="Garamond" w:cs="Sanskrit Text"/>
          <w:sz w:val="24"/>
          <w:szCs w:val="24"/>
        </w:rPr>
        <w:t>.</w:t>
      </w:r>
    </w:p>
    <w:p w14:paraId="21A04EBB" w14:textId="11689AD2" w:rsidR="001F547F" w:rsidRPr="001A23D9" w:rsidRDefault="001F547F" w:rsidP="00DD0196">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The nationally recognized financial resource that we subscribe to for gathering an industry group of guideline companies is Value Line.  It is </w:t>
      </w:r>
      <w:r w:rsidR="00E42DF5">
        <w:rPr>
          <w:rFonts w:ascii="Garamond" w:eastAsia="Calibri" w:hAnsi="Garamond" w:cs="Sanskrit Text"/>
          <w:sz w:val="24"/>
          <w:szCs w:val="24"/>
        </w:rPr>
        <w:t>arguably</w:t>
      </w:r>
      <w:r w:rsidRPr="001A23D9">
        <w:rPr>
          <w:rFonts w:ascii="Garamond" w:eastAsia="Calibri" w:hAnsi="Garamond" w:cs="Sanskrit Text"/>
          <w:sz w:val="24"/>
          <w:szCs w:val="24"/>
        </w:rPr>
        <w:t xml:space="preserve"> the most well-known, reliable, and frequently used source for analyzing market data of a given industry.  You will see </w:t>
      </w:r>
      <w:r w:rsidR="004F2AF0" w:rsidRPr="001A23D9">
        <w:rPr>
          <w:rFonts w:ascii="Garamond" w:eastAsia="Calibri" w:hAnsi="Garamond" w:cs="Sanskrit Text"/>
          <w:sz w:val="24"/>
          <w:szCs w:val="24"/>
        </w:rPr>
        <w:t>references</w:t>
      </w:r>
      <w:r w:rsidRPr="001A23D9">
        <w:rPr>
          <w:rFonts w:ascii="Garamond" w:eastAsia="Calibri" w:hAnsi="Garamond" w:cs="Sanskrit Text"/>
          <w:sz w:val="24"/>
          <w:szCs w:val="24"/>
        </w:rPr>
        <w:t xml:space="preserve"> to Value Line in multiple places within our rate studies.</w:t>
      </w:r>
    </w:p>
    <w:p w14:paraId="1DF90F69" w14:textId="483534F4" w:rsidR="001F547F" w:rsidRPr="001A23D9" w:rsidRDefault="001F547F" w:rsidP="00DD0196">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In addition to the </w:t>
      </w:r>
      <w:r w:rsidR="00F30722" w:rsidRPr="001A23D9">
        <w:rPr>
          <w:rFonts w:ascii="Garamond" w:eastAsia="Calibri" w:hAnsi="Garamond" w:cs="Sanskrit Text"/>
          <w:sz w:val="24"/>
          <w:szCs w:val="24"/>
        </w:rPr>
        <w:t xml:space="preserve">industry </w:t>
      </w:r>
      <w:r w:rsidRPr="001A23D9">
        <w:rPr>
          <w:rFonts w:ascii="Garamond" w:eastAsia="Calibri" w:hAnsi="Garamond" w:cs="Sanskrit Text"/>
          <w:sz w:val="24"/>
          <w:szCs w:val="24"/>
        </w:rPr>
        <w:t xml:space="preserve">classifications found in Value Line, the following are supplementary criteria we </w:t>
      </w:r>
      <w:r w:rsidR="00CE75A9" w:rsidRPr="001A23D9">
        <w:rPr>
          <w:rFonts w:ascii="Garamond" w:eastAsia="Calibri" w:hAnsi="Garamond" w:cs="Sanskrit Text"/>
          <w:sz w:val="24"/>
          <w:szCs w:val="24"/>
        </w:rPr>
        <w:t xml:space="preserve">may </w:t>
      </w:r>
      <w:r w:rsidRPr="001A23D9">
        <w:rPr>
          <w:rFonts w:ascii="Garamond" w:eastAsia="Calibri" w:hAnsi="Garamond" w:cs="Sanskrit Text"/>
          <w:sz w:val="24"/>
          <w:szCs w:val="24"/>
        </w:rPr>
        <w:t>consider when selecting guideline companies:</w:t>
      </w:r>
      <w:r w:rsidRPr="001A23D9">
        <w:rPr>
          <w:rFonts w:ascii="Garamond" w:eastAsia="Calibri" w:hAnsi="Garamond" w:cs="Sanskrit Text"/>
          <w:sz w:val="24"/>
          <w:szCs w:val="24"/>
          <w:vertAlign w:val="superscript"/>
        </w:rPr>
        <w:footnoteReference w:id="5"/>
      </w:r>
    </w:p>
    <w:p w14:paraId="76D100D0" w14:textId="587D71BC" w:rsidR="001F547F" w:rsidRPr="001A23D9" w:rsidRDefault="0056059E" w:rsidP="001F547F">
      <w:pPr>
        <w:numPr>
          <w:ilvl w:val="0"/>
          <w:numId w:val="2"/>
        </w:numPr>
        <w:spacing w:after="160" w:line="259" w:lineRule="auto"/>
        <w:contextualSpacing/>
        <w:rPr>
          <w:rFonts w:ascii="Garamond" w:eastAsia="Calibri" w:hAnsi="Garamond" w:cs="Sanskrit Text"/>
          <w:sz w:val="24"/>
          <w:szCs w:val="24"/>
        </w:rPr>
      </w:pPr>
      <w:r w:rsidRPr="001A23D9">
        <w:rPr>
          <w:rFonts w:ascii="Garamond" w:eastAsia="Calibri" w:hAnsi="Garamond" w:cs="Sanskrit Text"/>
          <w:sz w:val="24"/>
          <w:szCs w:val="24"/>
        </w:rPr>
        <w:t xml:space="preserve">Industry </w:t>
      </w:r>
      <w:r w:rsidR="00E42DF5">
        <w:rPr>
          <w:rFonts w:ascii="Garamond" w:eastAsia="Calibri" w:hAnsi="Garamond" w:cs="Sanskrit Text"/>
          <w:sz w:val="24"/>
          <w:szCs w:val="24"/>
        </w:rPr>
        <w:t>c</w:t>
      </w:r>
      <w:r w:rsidRPr="001A23D9">
        <w:rPr>
          <w:rFonts w:ascii="Garamond" w:eastAsia="Calibri" w:hAnsi="Garamond" w:cs="Sanskrit Text"/>
          <w:sz w:val="24"/>
          <w:szCs w:val="24"/>
        </w:rPr>
        <w:t>las</w:t>
      </w:r>
      <w:r w:rsidR="003C3D2A">
        <w:rPr>
          <w:rFonts w:ascii="Garamond" w:eastAsia="Calibri" w:hAnsi="Garamond" w:cs="Sanskrit Text"/>
          <w:sz w:val="24"/>
          <w:szCs w:val="24"/>
        </w:rPr>
        <w:t>s</w:t>
      </w:r>
      <w:r w:rsidR="00E42DF5">
        <w:rPr>
          <w:rFonts w:ascii="Garamond" w:eastAsia="Calibri" w:hAnsi="Garamond" w:cs="Sanskrit Text"/>
          <w:sz w:val="24"/>
          <w:szCs w:val="24"/>
        </w:rPr>
        <w:t xml:space="preserve"> c</w:t>
      </w:r>
      <w:r w:rsidR="003C3D2A">
        <w:rPr>
          <w:rFonts w:ascii="Garamond" w:eastAsia="Calibri" w:hAnsi="Garamond" w:cs="Sanskrit Text"/>
          <w:sz w:val="24"/>
          <w:szCs w:val="24"/>
        </w:rPr>
        <w:t>ode</w:t>
      </w:r>
    </w:p>
    <w:p w14:paraId="4B192B51" w14:textId="77777777" w:rsidR="001F547F" w:rsidRPr="001A23D9" w:rsidRDefault="001F547F" w:rsidP="001F547F">
      <w:pPr>
        <w:numPr>
          <w:ilvl w:val="0"/>
          <w:numId w:val="2"/>
        </w:numPr>
        <w:spacing w:after="160" w:line="259" w:lineRule="auto"/>
        <w:contextualSpacing/>
        <w:rPr>
          <w:rFonts w:ascii="Garamond" w:eastAsia="Calibri" w:hAnsi="Garamond" w:cs="Sanskrit Text"/>
          <w:sz w:val="24"/>
          <w:szCs w:val="24"/>
        </w:rPr>
      </w:pPr>
      <w:r w:rsidRPr="001A23D9">
        <w:rPr>
          <w:rFonts w:ascii="Garamond" w:eastAsia="Calibri" w:hAnsi="Garamond" w:cs="Sanskrit Text"/>
          <w:sz w:val="24"/>
          <w:szCs w:val="24"/>
        </w:rPr>
        <w:t>Risk</w:t>
      </w:r>
    </w:p>
    <w:p w14:paraId="1F9F90BA" w14:textId="77777777" w:rsidR="001F547F" w:rsidRPr="001A23D9" w:rsidRDefault="001F547F" w:rsidP="001F547F">
      <w:pPr>
        <w:numPr>
          <w:ilvl w:val="0"/>
          <w:numId w:val="2"/>
        </w:numPr>
        <w:spacing w:after="160" w:line="259" w:lineRule="auto"/>
        <w:contextualSpacing/>
        <w:rPr>
          <w:rFonts w:ascii="Garamond" w:eastAsia="Calibri" w:hAnsi="Garamond" w:cs="Sanskrit Text"/>
          <w:sz w:val="24"/>
          <w:szCs w:val="24"/>
        </w:rPr>
      </w:pPr>
      <w:r w:rsidRPr="001A23D9">
        <w:rPr>
          <w:rFonts w:ascii="Garamond" w:eastAsia="Calibri" w:hAnsi="Garamond" w:cs="Sanskrit Text"/>
          <w:sz w:val="24"/>
          <w:szCs w:val="24"/>
        </w:rPr>
        <w:t>Growth</w:t>
      </w:r>
    </w:p>
    <w:p w14:paraId="4780024A" w14:textId="77777777" w:rsidR="001F547F" w:rsidRPr="001A23D9" w:rsidRDefault="001F547F" w:rsidP="001F547F">
      <w:pPr>
        <w:numPr>
          <w:ilvl w:val="0"/>
          <w:numId w:val="2"/>
        </w:numPr>
        <w:spacing w:after="160" w:line="259" w:lineRule="auto"/>
        <w:contextualSpacing/>
        <w:rPr>
          <w:rFonts w:ascii="Garamond" w:eastAsia="Calibri" w:hAnsi="Garamond" w:cs="Sanskrit Text"/>
          <w:sz w:val="24"/>
          <w:szCs w:val="24"/>
        </w:rPr>
      </w:pPr>
      <w:r w:rsidRPr="001A23D9">
        <w:rPr>
          <w:rFonts w:ascii="Garamond" w:eastAsia="Calibri" w:hAnsi="Garamond" w:cs="Sanskrit Text"/>
          <w:sz w:val="24"/>
          <w:szCs w:val="24"/>
        </w:rPr>
        <w:lastRenderedPageBreak/>
        <w:t>Profitability</w:t>
      </w:r>
    </w:p>
    <w:p w14:paraId="301C2ECB" w14:textId="77777777" w:rsidR="00C21B26" w:rsidRPr="001A23D9" w:rsidRDefault="001F547F" w:rsidP="00C21B26">
      <w:pPr>
        <w:numPr>
          <w:ilvl w:val="0"/>
          <w:numId w:val="2"/>
        </w:numPr>
        <w:spacing w:after="0" w:line="259" w:lineRule="auto"/>
        <w:rPr>
          <w:rFonts w:ascii="Garamond" w:eastAsia="Calibri" w:hAnsi="Garamond" w:cs="Sanskrit Text"/>
          <w:sz w:val="24"/>
          <w:szCs w:val="24"/>
        </w:rPr>
      </w:pPr>
      <w:r w:rsidRPr="001A23D9">
        <w:rPr>
          <w:rFonts w:ascii="Garamond" w:eastAsia="Calibri" w:hAnsi="Garamond" w:cs="Sanskrit Text"/>
          <w:sz w:val="24"/>
          <w:szCs w:val="24"/>
        </w:rPr>
        <w:t>Size or physical characteristics</w:t>
      </w:r>
    </w:p>
    <w:p w14:paraId="2D28FB4B" w14:textId="02AF6062" w:rsidR="00C21B26" w:rsidRPr="001A23D9" w:rsidRDefault="00C21B26" w:rsidP="003A6E31">
      <w:pPr>
        <w:numPr>
          <w:ilvl w:val="0"/>
          <w:numId w:val="2"/>
        </w:num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Other characteristics</w:t>
      </w:r>
      <w:r w:rsidR="00427428" w:rsidRPr="001A23D9">
        <w:rPr>
          <w:rFonts w:ascii="Garamond" w:eastAsia="Calibri" w:hAnsi="Garamond" w:cs="Sanskrit Text"/>
          <w:sz w:val="24"/>
          <w:szCs w:val="24"/>
        </w:rPr>
        <w:t xml:space="preserve"> </w:t>
      </w:r>
    </w:p>
    <w:p w14:paraId="0856B15B" w14:textId="09B08676" w:rsidR="00734041" w:rsidRPr="004717B0" w:rsidRDefault="004717B0" w:rsidP="00DD0196">
      <w:pPr>
        <w:spacing w:after="160" w:line="259" w:lineRule="auto"/>
        <w:rPr>
          <w:rFonts w:ascii="Garamond" w:eastAsia="Calibri" w:hAnsi="Garamond" w:cs="Sanskrit Text"/>
          <w:b/>
          <w:bCs/>
          <w:sz w:val="24"/>
          <w:szCs w:val="24"/>
          <w:u w:val="single"/>
        </w:rPr>
      </w:pPr>
      <w:r w:rsidRPr="004717B0">
        <w:rPr>
          <w:rFonts w:ascii="Garamond" w:eastAsia="Calibri" w:hAnsi="Garamond" w:cs="Sanskrit Text"/>
          <w:b/>
          <w:bCs/>
          <w:sz w:val="24"/>
          <w:szCs w:val="24"/>
          <w:u w:val="single"/>
        </w:rPr>
        <w:t>CAPITAL STRUCTURE</w:t>
      </w:r>
    </w:p>
    <w:p w14:paraId="24FB8232" w14:textId="3817E45C" w:rsidR="00DD0196" w:rsidRPr="001A23D9" w:rsidRDefault="00DD0196" w:rsidP="00DD0196">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When an investor contemplates the purchase of a unit of operating assets, he or she will identify the optimal amount of debt and equity </w:t>
      </w:r>
      <w:r w:rsidR="0069327C">
        <w:rPr>
          <w:rFonts w:ascii="Garamond" w:eastAsia="Calibri" w:hAnsi="Garamond" w:cs="Sanskrit Text"/>
          <w:sz w:val="24"/>
          <w:szCs w:val="24"/>
        </w:rPr>
        <w:t>needed</w:t>
      </w:r>
      <w:r w:rsidRPr="001A23D9">
        <w:rPr>
          <w:rFonts w:ascii="Garamond" w:eastAsia="Calibri" w:hAnsi="Garamond" w:cs="Sanskrit Text"/>
          <w:sz w:val="24"/>
          <w:szCs w:val="24"/>
        </w:rPr>
        <w:t xml:space="preserve"> to finance that purchase, this is known as the capital structure.  The relative amounts of debt and equity used will influence the risk</w:t>
      </w:r>
      <w:r w:rsidR="00D11A5D" w:rsidRPr="001A23D9">
        <w:rPr>
          <w:rFonts w:ascii="Garamond" w:eastAsia="Calibri" w:hAnsi="Garamond" w:cs="Sanskrit Text"/>
          <w:sz w:val="24"/>
          <w:szCs w:val="24"/>
        </w:rPr>
        <w:t>s</w:t>
      </w:r>
      <w:r w:rsidRPr="001A23D9">
        <w:rPr>
          <w:rFonts w:ascii="Garamond" w:eastAsia="Calibri" w:hAnsi="Garamond" w:cs="Sanskrit Text"/>
          <w:sz w:val="24"/>
          <w:szCs w:val="24"/>
        </w:rPr>
        <w:t xml:space="preserve"> and cash flow</w:t>
      </w:r>
      <w:r w:rsidR="00D11A5D" w:rsidRPr="001A23D9">
        <w:rPr>
          <w:rFonts w:ascii="Garamond" w:eastAsia="Calibri" w:hAnsi="Garamond" w:cs="Sanskrit Text"/>
          <w:sz w:val="24"/>
          <w:szCs w:val="24"/>
        </w:rPr>
        <w:t>s</w:t>
      </w:r>
      <w:r w:rsidRPr="001A23D9">
        <w:rPr>
          <w:rFonts w:ascii="Garamond" w:eastAsia="Calibri" w:hAnsi="Garamond" w:cs="Sanskrit Text"/>
          <w:sz w:val="24"/>
          <w:szCs w:val="24"/>
        </w:rPr>
        <w:t xml:space="preserve"> inherent in the operation of the assets.  The optimal capital structure is the one that minimizes the cost of capital and thereby maximizes the market value of the </w:t>
      </w:r>
      <w:r w:rsidR="004D1193" w:rsidRPr="001A23D9">
        <w:rPr>
          <w:rFonts w:ascii="Garamond" w:eastAsia="Calibri" w:hAnsi="Garamond" w:cs="Sanskrit Text"/>
          <w:sz w:val="24"/>
          <w:szCs w:val="24"/>
        </w:rPr>
        <w:t>unit</w:t>
      </w:r>
      <w:r w:rsidRPr="001A23D9">
        <w:rPr>
          <w:rFonts w:ascii="Garamond" w:eastAsia="Calibri" w:hAnsi="Garamond" w:cs="Sanskrit Text"/>
          <w:sz w:val="24"/>
          <w:szCs w:val="24"/>
        </w:rPr>
        <w:t>.</w:t>
      </w:r>
    </w:p>
    <w:p w14:paraId="55011D74" w14:textId="3045C4D0" w:rsidR="00DD0196" w:rsidRPr="001A23D9" w:rsidRDefault="00DD0196" w:rsidP="00DD0196">
      <w:pPr>
        <w:spacing w:before="160"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Because debt financing is accompanied by a promise from the borrower that </w:t>
      </w:r>
      <w:r w:rsidR="00483FCE" w:rsidRPr="001A23D9">
        <w:rPr>
          <w:rFonts w:ascii="Garamond" w:eastAsia="Calibri" w:hAnsi="Garamond" w:cs="Sanskrit Text"/>
          <w:sz w:val="24"/>
          <w:szCs w:val="24"/>
        </w:rPr>
        <w:t>principal</w:t>
      </w:r>
      <w:r w:rsidRPr="001A23D9">
        <w:rPr>
          <w:rFonts w:ascii="Garamond" w:eastAsia="Calibri" w:hAnsi="Garamond" w:cs="Sanskrit Text"/>
          <w:sz w:val="24"/>
          <w:szCs w:val="24"/>
        </w:rPr>
        <w:t xml:space="preserve"> and interest will be paid on a regular schedule, it is considered less risky than equity</w:t>
      </w:r>
      <w:r w:rsidR="00D11A5D" w:rsidRPr="001A23D9">
        <w:rPr>
          <w:rFonts w:ascii="Garamond" w:eastAsia="Calibri" w:hAnsi="Garamond" w:cs="Sanskrit Text"/>
          <w:sz w:val="24"/>
          <w:szCs w:val="24"/>
        </w:rPr>
        <w:t xml:space="preserve"> - n</w:t>
      </w:r>
      <w:r w:rsidRPr="001A23D9">
        <w:rPr>
          <w:rFonts w:ascii="Garamond" w:eastAsia="Calibri" w:hAnsi="Garamond" w:cs="Sanskrit Text"/>
          <w:sz w:val="24"/>
          <w:szCs w:val="24"/>
        </w:rPr>
        <w:t xml:space="preserve">o such promise is made to an equity lender.  </w:t>
      </w:r>
      <w:r w:rsidR="004D1823" w:rsidRPr="001A23D9">
        <w:rPr>
          <w:rFonts w:ascii="Garamond" w:eastAsia="Calibri" w:hAnsi="Garamond" w:cs="Sanskrit Text"/>
          <w:sz w:val="24"/>
          <w:szCs w:val="24"/>
        </w:rPr>
        <w:t>Therefore</w:t>
      </w:r>
      <w:r w:rsidRPr="001A23D9">
        <w:rPr>
          <w:rFonts w:ascii="Garamond" w:eastAsia="Calibri" w:hAnsi="Garamond" w:cs="Sanskrit Text"/>
          <w:sz w:val="24"/>
          <w:szCs w:val="24"/>
        </w:rPr>
        <w:t xml:space="preserve">, </w:t>
      </w:r>
      <w:r w:rsidR="004D1823" w:rsidRPr="001A23D9">
        <w:rPr>
          <w:rFonts w:ascii="Garamond" w:eastAsia="Calibri" w:hAnsi="Garamond" w:cs="Sanskrit Text"/>
          <w:sz w:val="24"/>
          <w:szCs w:val="24"/>
        </w:rPr>
        <w:t xml:space="preserve">as evidence of lower risk - </w:t>
      </w:r>
      <w:r w:rsidRPr="001A23D9">
        <w:rPr>
          <w:rFonts w:ascii="Garamond" w:eastAsia="Calibri" w:hAnsi="Garamond" w:cs="Sanskrit Text"/>
          <w:sz w:val="24"/>
          <w:szCs w:val="24"/>
        </w:rPr>
        <w:t xml:space="preserve">the provider of debt capital will typically require a lower return </w:t>
      </w:r>
      <w:r w:rsidR="004D1823" w:rsidRPr="001A23D9">
        <w:rPr>
          <w:rFonts w:ascii="Garamond" w:eastAsia="Calibri" w:hAnsi="Garamond" w:cs="Sanskrit Text"/>
          <w:sz w:val="24"/>
          <w:szCs w:val="24"/>
        </w:rPr>
        <w:t>than will the equity investor</w:t>
      </w:r>
      <w:r w:rsidRPr="001A23D9">
        <w:rPr>
          <w:rFonts w:ascii="Garamond" w:eastAsia="Calibri" w:hAnsi="Garamond" w:cs="Sanskrit Text"/>
          <w:sz w:val="24"/>
          <w:szCs w:val="24"/>
        </w:rPr>
        <w:t xml:space="preserve">.  However, too much debt leads to highly leveraged assets which will increase interest payments and result in fewer returns available to equity investors.  </w:t>
      </w:r>
      <w:r w:rsidR="004D1823" w:rsidRPr="001A23D9">
        <w:rPr>
          <w:rFonts w:ascii="Garamond" w:eastAsia="Calibri" w:hAnsi="Garamond" w:cs="Sanskrit Text"/>
          <w:sz w:val="24"/>
          <w:szCs w:val="24"/>
        </w:rPr>
        <w:t>Accordingly, an</w:t>
      </w:r>
      <w:r w:rsidRPr="001A23D9">
        <w:rPr>
          <w:rFonts w:ascii="Garamond" w:eastAsia="Calibri" w:hAnsi="Garamond" w:cs="Sanskrit Text"/>
          <w:sz w:val="24"/>
          <w:szCs w:val="24"/>
        </w:rPr>
        <w:t xml:space="preserve"> optimal structure will </w:t>
      </w:r>
      <w:r w:rsidR="004D1823" w:rsidRPr="001A23D9">
        <w:rPr>
          <w:rFonts w:ascii="Garamond" w:eastAsia="Calibri" w:hAnsi="Garamond" w:cs="Sanskrit Text"/>
          <w:sz w:val="24"/>
          <w:szCs w:val="24"/>
        </w:rPr>
        <w:t xml:space="preserve">strike a </w:t>
      </w:r>
      <w:r w:rsidRPr="001A23D9">
        <w:rPr>
          <w:rFonts w:ascii="Garamond" w:eastAsia="Calibri" w:hAnsi="Garamond" w:cs="Sanskrit Text"/>
          <w:sz w:val="24"/>
          <w:szCs w:val="24"/>
        </w:rPr>
        <w:t xml:space="preserve">balance </w:t>
      </w:r>
      <w:r w:rsidR="004D1823" w:rsidRPr="001A23D9">
        <w:rPr>
          <w:rFonts w:ascii="Garamond" w:eastAsia="Calibri" w:hAnsi="Garamond" w:cs="Sanskrit Text"/>
          <w:sz w:val="24"/>
          <w:szCs w:val="24"/>
        </w:rPr>
        <w:t>between the relative use of</w:t>
      </w:r>
      <w:r w:rsidR="0069327C">
        <w:rPr>
          <w:rFonts w:ascii="Garamond" w:eastAsia="Calibri" w:hAnsi="Garamond" w:cs="Sanskrit Text"/>
          <w:sz w:val="24"/>
          <w:szCs w:val="24"/>
        </w:rPr>
        <w:t xml:space="preserve"> capital</w:t>
      </w:r>
      <w:r w:rsidR="004D1823" w:rsidRPr="001A23D9">
        <w:rPr>
          <w:rFonts w:ascii="Garamond" w:eastAsia="Calibri" w:hAnsi="Garamond" w:cs="Sanskrit Text"/>
          <w:sz w:val="24"/>
          <w:szCs w:val="24"/>
        </w:rPr>
        <w:t xml:space="preserve"> and the risk aversion of the investor.</w:t>
      </w:r>
    </w:p>
    <w:p w14:paraId="3E08E60C" w14:textId="61AF60B2" w:rsidR="0056059E" w:rsidRPr="001A23D9" w:rsidRDefault="004717B0" w:rsidP="004E42CC">
      <w:pPr>
        <w:spacing w:after="160" w:line="259" w:lineRule="auto"/>
        <w:rPr>
          <w:rFonts w:ascii="Garamond" w:eastAsia="Calibri" w:hAnsi="Garamond" w:cs="Sanskrit Text"/>
          <w:b/>
          <w:bCs/>
          <w:sz w:val="24"/>
          <w:szCs w:val="24"/>
          <w:u w:val="single"/>
        </w:rPr>
      </w:pPr>
      <w:r w:rsidRPr="001A23D9">
        <w:rPr>
          <w:rFonts w:ascii="Garamond" w:eastAsia="Calibri" w:hAnsi="Garamond" w:cs="Sanskrit Text"/>
          <w:b/>
          <w:bCs/>
          <w:sz w:val="24"/>
          <w:szCs w:val="24"/>
          <w:u w:val="single"/>
        </w:rPr>
        <w:t>MARKET COST OF DEBT</w:t>
      </w:r>
    </w:p>
    <w:p w14:paraId="766E353F" w14:textId="7BBF0082" w:rsidR="0056059E" w:rsidRPr="001A23D9" w:rsidRDefault="0056059E" w:rsidP="002766F7">
      <w:pPr>
        <w:spacing w:after="160" w:line="259" w:lineRule="auto"/>
        <w:rPr>
          <w:rFonts w:ascii="Garamond" w:eastAsia="Calibri" w:hAnsi="Garamond" w:cs="Sanskrit Text"/>
          <w:b/>
          <w:bCs/>
          <w:sz w:val="24"/>
          <w:szCs w:val="24"/>
          <w:u w:val="single"/>
        </w:rPr>
      </w:pPr>
      <w:r w:rsidRPr="001A23D9">
        <w:rPr>
          <w:rFonts w:ascii="Garamond" w:eastAsia="Calibri" w:hAnsi="Garamond" w:cs="Sanskrit Text"/>
          <w:sz w:val="24"/>
          <w:szCs w:val="24"/>
        </w:rPr>
        <w:t>The “debt rate’ [in a yield capitalization] is determined by an analysis of yield to maturity</w:t>
      </w:r>
      <w:r w:rsidR="00EC0BC7" w:rsidRPr="001A23D9">
        <w:rPr>
          <w:rFonts w:ascii="Garamond" w:eastAsia="Calibri" w:hAnsi="Garamond" w:cs="Sanskrit Text"/>
          <w:sz w:val="24"/>
          <w:szCs w:val="24"/>
        </w:rPr>
        <w:t>.</w:t>
      </w:r>
      <w:r w:rsidR="0069327C">
        <w:rPr>
          <w:rFonts w:ascii="Garamond" w:eastAsia="Calibri" w:hAnsi="Garamond" w:cs="Sanskrit Text"/>
          <w:sz w:val="24"/>
          <w:szCs w:val="24"/>
        </w:rPr>
        <w:t>”</w:t>
      </w:r>
      <w:r w:rsidRPr="001A23D9">
        <w:rPr>
          <w:rFonts w:ascii="Garamond" w:eastAsia="Calibri" w:hAnsi="Garamond" w:cs="Sanskrit Text"/>
          <w:sz w:val="24"/>
          <w:szCs w:val="24"/>
          <w:vertAlign w:val="superscript"/>
        </w:rPr>
        <w:footnoteReference w:id="6"/>
      </w:r>
    </w:p>
    <w:p w14:paraId="7CFD9863" w14:textId="506712DD" w:rsidR="0056059E" w:rsidRPr="001A23D9" w:rsidRDefault="0056059E" w:rsidP="00DD0196">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Brealey &amp; Myers define the yield to maturity (YTM) as “the discount rate that makes the present value of future interest and principal payments equal to the bond’s price.</w:t>
      </w:r>
      <w:r w:rsidR="00D80877" w:rsidRPr="001A23D9">
        <w:rPr>
          <w:rFonts w:ascii="Garamond" w:eastAsia="Calibri" w:hAnsi="Garamond" w:cs="Sanskrit Text"/>
          <w:sz w:val="24"/>
          <w:szCs w:val="24"/>
        </w:rPr>
        <w:t xml:space="preserve"> </w:t>
      </w:r>
      <w:r w:rsidRPr="001A23D9">
        <w:rPr>
          <w:rFonts w:ascii="Garamond" w:eastAsia="Calibri" w:hAnsi="Garamond" w:cs="Sanskrit Text"/>
          <w:sz w:val="24"/>
          <w:szCs w:val="24"/>
        </w:rPr>
        <w:t xml:space="preserve"> If you buy the bond at that market price and hold it to maturity, the yield to maturity is your internal rate of return (IRR) on the bond investment</w:t>
      </w:r>
      <w:r w:rsidR="00541DFB" w:rsidRPr="001A23D9">
        <w:rPr>
          <w:rFonts w:ascii="Garamond" w:eastAsia="Calibri" w:hAnsi="Garamond" w:cs="Sanskrit Text"/>
          <w:sz w:val="24"/>
          <w:szCs w:val="24"/>
        </w:rPr>
        <w:t>.”</w:t>
      </w:r>
      <w:r w:rsidRPr="001A23D9">
        <w:rPr>
          <w:rFonts w:ascii="Garamond" w:eastAsia="Calibri" w:hAnsi="Garamond" w:cs="Sanskrit Text"/>
          <w:sz w:val="24"/>
          <w:szCs w:val="24"/>
          <w:vertAlign w:val="superscript"/>
        </w:rPr>
        <w:footnoteReference w:id="7"/>
      </w:r>
    </w:p>
    <w:p w14:paraId="1DFB1885" w14:textId="6A559DE7" w:rsidR="00842987" w:rsidRPr="001A23D9" w:rsidRDefault="00842987" w:rsidP="00DD0196">
      <w:pPr>
        <w:spacing w:after="160" w:line="259" w:lineRule="auto"/>
        <w:rPr>
          <w:rFonts w:ascii="Garamond" w:eastAsia="Calibri" w:hAnsi="Garamond" w:cs="Sanskrit Text"/>
          <w:b/>
          <w:bCs/>
          <w:sz w:val="24"/>
          <w:szCs w:val="24"/>
        </w:rPr>
      </w:pPr>
      <w:r w:rsidRPr="001A23D9">
        <w:rPr>
          <w:rFonts w:ascii="Garamond" w:eastAsia="Calibri" w:hAnsi="Garamond" w:cs="Sanskrit Text"/>
          <w:sz w:val="24"/>
          <w:szCs w:val="24"/>
        </w:rPr>
        <w:t xml:space="preserve">We utilize Moody’s and Standard and Poor’s to determine an average credit rating </w:t>
      </w:r>
      <w:r w:rsidR="002948C5" w:rsidRPr="001A23D9">
        <w:rPr>
          <w:rFonts w:ascii="Garamond" w:eastAsia="Calibri" w:hAnsi="Garamond" w:cs="Sanskrit Text"/>
          <w:sz w:val="24"/>
          <w:szCs w:val="24"/>
        </w:rPr>
        <w:t xml:space="preserve">of the guideline companies in each </w:t>
      </w:r>
      <w:r w:rsidR="00EB6005" w:rsidRPr="001A23D9">
        <w:rPr>
          <w:rFonts w:ascii="Garamond" w:eastAsia="Calibri" w:hAnsi="Garamond" w:cs="Sanskrit Text"/>
          <w:sz w:val="24"/>
          <w:szCs w:val="24"/>
        </w:rPr>
        <w:t xml:space="preserve">assessed </w:t>
      </w:r>
      <w:r w:rsidR="002948C5" w:rsidRPr="001A23D9">
        <w:rPr>
          <w:rFonts w:ascii="Garamond" w:eastAsia="Calibri" w:hAnsi="Garamond" w:cs="Sanskrit Text"/>
          <w:sz w:val="24"/>
          <w:szCs w:val="24"/>
        </w:rPr>
        <w:t>in</w:t>
      </w:r>
      <w:r w:rsidRPr="001A23D9">
        <w:rPr>
          <w:rFonts w:ascii="Garamond" w:eastAsia="Calibri" w:hAnsi="Garamond" w:cs="Sanskrit Text"/>
          <w:sz w:val="24"/>
          <w:szCs w:val="24"/>
        </w:rPr>
        <w:t>dustry</w:t>
      </w:r>
      <w:r w:rsidR="002948C5" w:rsidRPr="001A23D9">
        <w:rPr>
          <w:rFonts w:ascii="Garamond" w:eastAsia="Calibri" w:hAnsi="Garamond" w:cs="Sanskrit Text"/>
          <w:sz w:val="24"/>
          <w:szCs w:val="24"/>
        </w:rPr>
        <w:t>.  We</w:t>
      </w:r>
      <w:r w:rsidRPr="001A23D9">
        <w:rPr>
          <w:rFonts w:ascii="Garamond" w:eastAsia="Calibri" w:hAnsi="Garamond" w:cs="Sanskrit Text"/>
          <w:sz w:val="24"/>
          <w:szCs w:val="24"/>
        </w:rPr>
        <w:t xml:space="preserve"> then use</w:t>
      </w:r>
      <w:r w:rsidR="0096708F">
        <w:rPr>
          <w:rFonts w:ascii="Garamond" w:eastAsia="Calibri" w:hAnsi="Garamond" w:cs="Sanskrit Text"/>
          <w:sz w:val="24"/>
          <w:szCs w:val="24"/>
        </w:rPr>
        <w:t xml:space="preserve"> </w:t>
      </w:r>
      <w:r w:rsidRPr="001A23D9">
        <w:rPr>
          <w:rFonts w:ascii="Garamond" w:eastAsia="Calibri" w:hAnsi="Garamond" w:cs="Sanskrit Text"/>
          <w:sz w:val="24"/>
          <w:szCs w:val="24"/>
        </w:rPr>
        <w:t>Mergent Bond Record</w:t>
      </w:r>
      <w:r w:rsidR="004714D1">
        <w:rPr>
          <w:rFonts w:ascii="Garamond" w:eastAsia="Calibri" w:hAnsi="Garamond" w:cs="Sanskrit Text"/>
          <w:sz w:val="24"/>
          <w:szCs w:val="24"/>
        </w:rPr>
        <w:t xml:space="preserve"> along with</w:t>
      </w:r>
      <w:r w:rsidRPr="001A23D9">
        <w:rPr>
          <w:rFonts w:ascii="Garamond" w:eastAsia="Calibri" w:hAnsi="Garamond" w:cs="Sanskrit Text"/>
          <w:sz w:val="24"/>
          <w:szCs w:val="24"/>
        </w:rPr>
        <w:t xml:space="preserve"> other sources to identify the </w:t>
      </w:r>
      <w:r w:rsidR="004714D1">
        <w:rPr>
          <w:rFonts w:ascii="Garamond" w:eastAsia="Calibri" w:hAnsi="Garamond" w:cs="Sanskrit Text"/>
          <w:sz w:val="24"/>
          <w:szCs w:val="24"/>
        </w:rPr>
        <w:t>corresponding</w:t>
      </w:r>
      <w:r w:rsidRPr="001A23D9">
        <w:rPr>
          <w:rFonts w:ascii="Garamond" w:eastAsia="Calibri" w:hAnsi="Garamond" w:cs="Sanskrit Text"/>
          <w:sz w:val="24"/>
          <w:szCs w:val="24"/>
        </w:rPr>
        <w:t xml:space="preserve"> yield to maturity</w:t>
      </w:r>
      <w:r w:rsidR="00EC4620" w:rsidRPr="001A23D9">
        <w:rPr>
          <w:rFonts w:ascii="Garamond" w:eastAsia="Calibri" w:hAnsi="Garamond" w:cs="Sanskrit Text"/>
          <w:sz w:val="24"/>
          <w:szCs w:val="24"/>
        </w:rPr>
        <w:t>, or market cost of debt for</w:t>
      </w:r>
      <w:r w:rsidRPr="001A23D9">
        <w:rPr>
          <w:rFonts w:ascii="Garamond" w:eastAsia="Calibri" w:hAnsi="Garamond" w:cs="Sanskrit Text"/>
          <w:sz w:val="24"/>
          <w:szCs w:val="24"/>
        </w:rPr>
        <w:t xml:space="preserve"> the </w:t>
      </w:r>
      <w:r w:rsidR="00EC4620" w:rsidRPr="001A23D9">
        <w:rPr>
          <w:rFonts w:ascii="Garamond" w:eastAsia="Calibri" w:hAnsi="Garamond" w:cs="Sanskrit Text"/>
          <w:sz w:val="24"/>
          <w:szCs w:val="24"/>
        </w:rPr>
        <w:t xml:space="preserve">subject </w:t>
      </w:r>
      <w:r w:rsidRPr="001A23D9">
        <w:rPr>
          <w:rFonts w:ascii="Garamond" w:eastAsia="Calibri" w:hAnsi="Garamond" w:cs="Sanskrit Text"/>
          <w:sz w:val="24"/>
          <w:szCs w:val="24"/>
        </w:rPr>
        <w:t>industry</w:t>
      </w:r>
      <w:r w:rsidR="004714D1">
        <w:rPr>
          <w:rFonts w:ascii="Garamond" w:eastAsia="Calibri" w:hAnsi="Garamond" w:cs="Sanskrit Text"/>
          <w:sz w:val="24"/>
          <w:szCs w:val="24"/>
        </w:rPr>
        <w:t>.</w:t>
      </w:r>
    </w:p>
    <w:p w14:paraId="27CBFA63" w14:textId="283657E2" w:rsidR="0056059E" w:rsidRPr="001A23D9" w:rsidRDefault="004717B0" w:rsidP="004E42CC">
      <w:pPr>
        <w:spacing w:after="160" w:line="259" w:lineRule="auto"/>
        <w:rPr>
          <w:rFonts w:ascii="Garamond" w:eastAsia="Calibri" w:hAnsi="Garamond" w:cs="Sanskrit Text"/>
          <w:b/>
          <w:bCs/>
          <w:sz w:val="24"/>
          <w:szCs w:val="24"/>
          <w:u w:val="single"/>
        </w:rPr>
      </w:pPr>
      <w:r w:rsidRPr="001A23D9">
        <w:rPr>
          <w:rFonts w:ascii="Garamond" w:eastAsia="Calibri" w:hAnsi="Garamond" w:cs="Sanskrit Text"/>
          <w:b/>
          <w:bCs/>
          <w:sz w:val="24"/>
          <w:szCs w:val="24"/>
          <w:u w:val="single"/>
        </w:rPr>
        <w:t>MARKET COST OF EQUITY</w:t>
      </w:r>
    </w:p>
    <w:p w14:paraId="59A471F0" w14:textId="0370E7CC" w:rsidR="009E4E8B" w:rsidRPr="001A23D9" w:rsidRDefault="009E4E8B" w:rsidP="009E4E8B">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Cost of equity refers to the minimum annual rate of return a shareholder requires on an equity investment.  It is the rate of return that could have been earned by putting the same money into a different investment </w:t>
      </w:r>
      <w:r w:rsidR="00AF4DFC">
        <w:rPr>
          <w:rFonts w:ascii="Garamond" w:eastAsia="Calibri" w:hAnsi="Garamond" w:cs="Sanskrit Text"/>
          <w:sz w:val="24"/>
          <w:szCs w:val="24"/>
        </w:rPr>
        <w:t>of</w:t>
      </w:r>
      <w:r w:rsidRPr="001A23D9">
        <w:rPr>
          <w:rFonts w:ascii="Garamond" w:eastAsia="Calibri" w:hAnsi="Garamond" w:cs="Sanskrit Text"/>
          <w:sz w:val="24"/>
          <w:szCs w:val="24"/>
        </w:rPr>
        <w:t xml:space="preserve"> equal risk.  The cost of equity reflects the opportunity cost of investing for the shareholder.</w:t>
      </w:r>
      <w:r w:rsidR="0007238D">
        <w:rPr>
          <w:rFonts w:ascii="Garamond" w:eastAsia="Calibri" w:hAnsi="Garamond" w:cs="Sanskrit Text"/>
          <w:sz w:val="24"/>
          <w:szCs w:val="24"/>
        </w:rPr>
        <w:t xml:space="preserve"> The e</w:t>
      </w:r>
      <w:r w:rsidRPr="001A23D9">
        <w:rPr>
          <w:rFonts w:ascii="Garamond" w:eastAsia="Calibri" w:hAnsi="Garamond" w:cs="Sanskrit Text"/>
          <w:sz w:val="24"/>
          <w:szCs w:val="24"/>
        </w:rPr>
        <w:t>quity rate should</w:t>
      </w:r>
      <w:r w:rsidR="0007238D">
        <w:rPr>
          <w:rFonts w:ascii="Garamond" w:eastAsia="Calibri" w:hAnsi="Garamond" w:cs="Sanskrit Text"/>
          <w:sz w:val="24"/>
          <w:szCs w:val="24"/>
        </w:rPr>
        <w:t xml:space="preserve"> also</w:t>
      </w:r>
      <w:r w:rsidRPr="001A23D9">
        <w:rPr>
          <w:rFonts w:ascii="Garamond" w:eastAsia="Calibri" w:hAnsi="Garamond" w:cs="Sanskrit Text"/>
          <w:sz w:val="24"/>
          <w:szCs w:val="24"/>
        </w:rPr>
        <w:t xml:space="preserve"> reflect the cost of equity financing typical for a company operating </w:t>
      </w:r>
      <w:r w:rsidR="00BB7BAC" w:rsidRPr="001A23D9">
        <w:rPr>
          <w:rFonts w:ascii="Garamond" w:eastAsia="Calibri" w:hAnsi="Garamond" w:cs="Sanskrit Text"/>
          <w:sz w:val="24"/>
          <w:szCs w:val="24"/>
        </w:rPr>
        <w:t>in each</w:t>
      </w:r>
      <w:r w:rsidRPr="001A23D9">
        <w:rPr>
          <w:rFonts w:ascii="Garamond" w:eastAsia="Calibri" w:hAnsi="Garamond" w:cs="Sanskrit Text"/>
          <w:sz w:val="24"/>
          <w:szCs w:val="24"/>
        </w:rPr>
        <w:t xml:space="preserve"> industry as of the appraisal date.</w:t>
      </w:r>
    </w:p>
    <w:p w14:paraId="14B3E094" w14:textId="53E9A62E" w:rsidR="009E4E8B" w:rsidRPr="001A23D9" w:rsidRDefault="009E4E8B" w:rsidP="009E4E8B">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There is no single accepted method for </w:t>
      </w:r>
      <w:r w:rsidR="000419BB">
        <w:rPr>
          <w:rFonts w:ascii="Garamond" w:eastAsia="Calibri" w:hAnsi="Garamond" w:cs="Sanskrit Text"/>
          <w:sz w:val="24"/>
          <w:szCs w:val="24"/>
        </w:rPr>
        <w:t>estimating the cost of equity</w:t>
      </w:r>
      <w:r w:rsidR="0096708F">
        <w:rPr>
          <w:rFonts w:ascii="Garamond" w:eastAsia="Calibri" w:hAnsi="Garamond" w:cs="Sanskrit Text"/>
          <w:sz w:val="24"/>
          <w:szCs w:val="24"/>
        </w:rPr>
        <w:t>.</w:t>
      </w:r>
      <w:r w:rsidR="000419BB">
        <w:rPr>
          <w:rFonts w:ascii="Garamond" w:eastAsia="Calibri" w:hAnsi="Garamond" w:cs="Sanskrit Text"/>
          <w:sz w:val="24"/>
          <w:szCs w:val="24"/>
        </w:rPr>
        <w:t xml:space="preserve">  Co</w:t>
      </w:r>
      <w:r w:rsidRPr="001A23D9">
        <w:rPr>
          <w:rFonts w:ascii="Garamond" w:eastAsia="Calibri" w:hAnsi="Garamond" w:cs="Sanskrit Text"/>
          <w:sz w:val="24"/>
          <w:szCs w:val="24"/>
        </w:rPr>
        <w:t xml:space="preserve">nsequently, the appraiser is best advised to apply at least two of the recognized methods to develop a range of </w:t>
      </w:r>
      <w:r w:rsidR="00433A2E" w:rsidRPr="001A23D9">
        <w:rPr>
          <w:rFonts w:ascii="Garamond" w:eastAsia="Calibri" w:hAnsi="Garamond" w:cs="Sanskrit Text"/>
          <w:sz w:val="24"/>
          <w:szCs w:val="24"/>
        </w:rPr>
        <w:t xml:space="preserve">equity </w:t>
      </w:r>
      <w:r w:rsidRPr="001A23D9">
        <w:rPr>
          <w:rFonts w:ascii="Garamond" w:eastAsia="Calibri" w:hAnsi="Garamond" w:cs="Sanskrit Text"/>
          <w:sz w:val="24"/>
          <w:szCs w:val="24"/>
        </w:rPr>
        <w:t xml:space="preserve">rates.  </w:t>
      </w:r>
    </w:p>
    <w:p w14:paraId="24FFFE1D" w14:textId="4AB75FAE" w:rsidR="00433A2E" w:rsidRDefault="009E4E8B" w:rsidP="009E4E8B">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lastRenderedPageBreak/>
        <w:t>Commission staff uses the Capital Asset Pricing Model and the Dividend Growth Model</w:t>
      </w:r>
      <w:r w:rsidR="00433A2E" w:rsidRPr="001A23D9">
        <w:rPr>
          <w:rFonts w:ascii="Garamond" w:eastAsia="Calibri" w:hAnsi="Garamond" w:cs="Sanskrit Text"/>
          <w:sz w:val="24"/>
          <w:szCs w:val="24"/>
        </w:rPr>
        <w:t xml:space="preserve"> to develop these estimates</w:t>
      </w:r>
      <w:r w:rsidRPr="001A23D9">
        <w:rPr>
          <w:rFonts w:ascii="Garamond" w:eastAsia="Calibri" w:hAnsi="Garamond" w:cs="Sanskrit Text"/>
          <w:sz w:val="24"/>
          <w:szCs w:val="24"/>
        </w:rPr>
        <w:t>.</w:t>
      </w:r>
      <w:r w:rsidR="00A333C5">
        <w:rPr>
          <w:rFonts w:ascii="Garamond" w:eastAsia="Calibri" w:hAnsi="Garamond" w:cs="Sanskrit Text"/>
          <w:sz w:val="24"/>
          <w:szCs w:val="24"/>
        </w:rPr>
        <w:t xml:space="preserve">  These are the two methods </w:t>
      </w:r>
      <w:r w:rsidR="009F31B6">
        <w:rPr>
          <w:rFonts w:ascii="Garamond" w:eastAsia="Calibri" w:hAnsi="Garamond" w:cs="Sanskrit Text"/>
          <w:sz w:val="24"/>
          <w:szCs w:val="24"/>
        </w:rPr>
        <w:t>most used</w:t>
      </w:r>
      <w:r w:rsidR="00A333C5">
        <w:rPr>
          <w:rFonts w:ascii="Garamond" w:eastAsia="Calibri" w:hAnsi="Garamond" w:cs="Sanskrit Text"/>
          <w:sz w:val="24"/>
          <w:szCs w:val="24"/>
        </w:rPr>
        <w:t xml:space="preserve"> by practitioners to determine the cost of equity.</w:t>
      </w:r>
    </w:p>
    <w:p w14:paraId="68A27CC2" w14:textId="38685D85" w:rsidR="0056059E" w:rsidRPr="001A23D9" w:rsidRDefault="004717B0" w:rsidP="009E4E8B">
      <w:pPr>
        <w:spacing w:after="160" w:line="259" w:lineRule="auto"/>
        <w:rPr>
          <w:rFonts w:ascii="Garamond" w:eastAsia="Calibri" w:hAnsi="Garamond" w:cs="Sanskrit Text"/>
          <w:b/>
          <w:bCs/>
          <w:sz w:val="24"/>
          <w:szCs w:val="24"/>
          <w:u w:val="single"/>
        </w:rPr>
      </w:pPr>
      <w:r w:rsidRPr="001A23D9">
        <w:rPr>
          <w:rFonts w:ascii="Garamond" w:eastAsia="Calibri" w:hAnsi="Garamond" w:cs="Sanskrit Text"/>
          <w:b/>
          <w:bCs/>
          <w:sz w:val="24"/>
          <w:szCs w:val="24"/>
          <w:u w:val="single"/>
        </w:rPr>
        <w:t>CAPITAL ASSET PRICING MODEL (CAPM)</w:t>
      </w:r>
    </w:p>
    <w:p w14:paraId="3C98FEC3" w14:textId="2F1B45F4" w:rsidR="0056059E" w:rsidRPr="001A23D9" w:rsidRDefault="0056059E" w:rsidP="009E4E8B">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The CAPM model </w:t>
      </w:r>
      <w:r w:rsidR="00F1055F" w:rsidRPr="001A23D9">
        <w:rPr>
          <w:rFonts w:ascii="Garamond" w:eastAsia="Calibri" w:hAnsi="Garamond" w:cs="Sanskrit Text"/>
          <w:sz w:val="24"/>
          <w:szCs w:val="24"/>
        </w:rPr>
        <w:t xml:space="preserve">was primarily developed </w:t>
      </w:r>
      <w:r w:rsidR="00F30722" w:rsidRPr="001A23D9">
        <w:rPr>
          <w:rFonts w:ascii="Garamond" w:eastAsia="Calibri" w:hAnsi="Garamond" w:cs="Sanskrit Text"/>
          <w:sz w:val="24"/>
          <w:szCs w:val="24"/>
        </w:rPr>
        <w:t xml:space="preserve">by Nobel laureate in economics, William Sharpe </w:t>
      </w:r>
      <w:r w:rsidR="00F1055F" w:rsidRPr="001A23D9">
        <w:rPr>
          <w:rFonts w:ascii="Garamond" w:eastAsia="Calibri" w:hAnsi="Garamond" w:cs="Sanskrit Text"/>
          <w:sz w:val="24"/>
          <w:szCs w:val="24"/>
        </w:rPr>
        <w:t>in the early 1960s</w:t>
      </w:r>
      <w:r w:rsidR="005B1F2B">
        <w:rPr>
          <w:rFonts w:ascii="Garamond" w:eastAsia="Calibri" w:hAnsi="Garamond" w:cs="Sanskrit Text"/>
          <w:sz w:val="24"/>
          <w:szCs w:val="24"/>
        </w:rPr>
        <w:t>.  It i</w:t>
      </w:r>
      <w:r w:rsidRPr="001A23D9">
        <w:rPr>
          <w:rFonts w:ascii="Garamond" w:eastAsia="Calibri" w:hAnsi="Garamond" w:cs="Sanskrit Text"/>
          <w:sz w:val="24"/>
          <w:szCs w:val="24"/>
        </w:rPr>
        <w:t>s based on the idea th</w:t>
      </w:r>
      <w:r w:rsidR="00842987" w:rsidRPr="001A23D9">
        <w:rPr>
          <w:rFonts w:ascii="Garamond" w:eastAsia="Calibri" w:hAnsi="Garamond" w:cs="Sanskrit Text"/>
          <w:sz w:val="24"/>
          <w:szCs w:val="24"/>
        </w:rPr>
        <w:t>at</w:t>
      </w:r>
      <w:r w:rsidR="001303E2">
        <w:rPr>
          <w:rFonts w:ascii="Garamond" w:eastAsia="Calibri" w:hAnsi="Garamond" w:cs="Sanskrit Text"/>
          <w:sz w:val="24"/>
          <w:szCs w:val="24"/>
        </w:rPr>
        <w:t xml:space="preserve"> an</w:t>
      </w:r>
      <w:r w:rsidRPr="001A23D9">
        <w:rPr>
          <w:rFonts w:ascii="Garamond" w:eastAsia="Calibri" w:hAnsi="Garamond" w:cs="Sanskrit Text"/>
          <w:sz w:val="24"/>
          <w:szCs w:val="24"/>
        </w:rPr>
        <w:t xml:space="preserve"> </w:t>
      </w:r>
      <w:r w:rsidR="00DF131F">
        <w:rPr>
          <w:rFonts w:ascii="Garamond" w:eastAsia="Calibri" w:hAnsi="Garamond" w:cs="Sanskrit Text"/>
          <w:sz w:val="24"/>
          <w:szCs w:val="24"/>
        </w:rPr>
        <w:t>investor</w:t>
      </w:r>
      <w:r w:rsidRPr="001A23D9">
        <w:rPr>
          <w:rFonts w:ascii="Garamond" w:eastAsia="Calibri" w:hAnsi="Garamond" w:cs="Sanskrit Text"/>
          <w:sz w:val="24"/>
          <w:szCs w:val="24"/>
        </w:rPr>
        <w:t xml:space="preserve"> demand</w:t>
      </w:r>
      <w:r w:rsidR="00DF131F">
        <w:rPr>
          <w:rFonts w:ascii="Garamond" w:eastAsia="Calibri" w:hAnsi="Garamond" w:cs="Sanskrit Text"/>
          <w:sz w:val="24"/>
          <w:szCs w:val="24"/>
        </w:rPr>
        <w:t>s</w:t>
      </w:r>
      <w:r w:rsidRPr="001A23D9">
        <w:rPr>
          <w:rFonts w:ascii="Garamond" w:eastAsia="Calibri" w:hAnsi="Garamond" w:cs="Sanskrit Text"/>
          <w:sz w:val="24"/>
          <w:szCs w:val="24"/>
        </w:rPr>
        <w:t xml:space="preserve"> a minimum rate of return equal to the return on a risk-free investment</w:t>
      </w:r>
      <w:r w:rsidR="005B1F2B">
        <w:rPr>
          <w:rFonts w:ascii="Garamond" w:eastAsia="Calibri" w:hAnsi="Garamond" w:cs="Sanskrit Text"/>
          <w:sz w:val="24"/>
          <w:szCs w:val="24"/>
        </w:rPr>
        <w:t xml:space="preserve"> (risk-free rate)</w:t>
      </w:r>
      <w:r w:rsidRPr="001A23D9">
        <w:rPr>
          <w:rFonts w:ascii="Garamond" w:eastAsia="Calibri" w:hAnsi="Garamond" w:cs="Sanskrit Text"/>
          <w:sz w:val="24"/>
          <w:szCs w:val="24"/>
        </w:rPr>
        <w:t xml:space="preserve"> plus a premium for taking on </w:t>
      </w:r>
      <w:r w:rsidR="00DF131F">
        <w:rPr>
          <w:rFonts w:ascii="Garamond" w:eastAsia="Calibri" w:hAnsi="Garamond" w:cs="Sanskrit Text"/>
          <w:sz w:val="24"/>
          <w:szCs w:val="24"/>
        </w:rPr>
        <w:t xml:space="preserve">the </w:t>
      </w:r>
      <w:r w:rsidRPr="001A23D9">
        <w:rPr>
          <w:rFonts w:ascii="Garamond" w:eastAsia="Calibri" w:hAnsi="Garamond" w:cs="Sanskrit Text"/>
          <w:sz w:val="24"/>
          <w:szCs w:val="24"/>
        </w:rPr>
        <w:t>extra risk</w:t>
      </w:r>
      <w:r w:rsidR="00DF131F">
        <w:rPr>
          <w:rFonts w:ascii="Garamond" w:eastAsia="Calibri" w:hAnsi="Garamond" w:cs="Sanskrit Text"/>
          <w:sz w:val="24"/>
          <w:szCs w:val="24"/>
        </w:rPr>
        <w:t xml:space="preserve"> of investing in</w:t>
      </w:r>
      <w:r w:rsidR="001303E2">
        <w:rPr>
          <w:rFonts w:ascii="Garamond" w:eastAsia="Calibri" w:hAnsi="Garamond" w:cs="Sanskrit Text"/>
          <w:sz w:val="24"/>
          <w:szCs w:val="24"/>
        </w:rPr>
        <w:t xml:space="preserve"> a </w:t>
      </w:r>
      <w:r w:rsidR="00DF131F">
        <w:rPr>
          <w:rFonts w:ascii="Garamond" w:eastAsia="Calibri" w:hAnsi="Garamond" w:cs="Sanskrit Text"/>
          <w:sz w:val="24"/>
          <w:szCs w:val="24"/>
        </w:rPr>
        <w:t>stock</w:t>
      </w:r>
      <w:r w:rsidR="005B1F2B">
        <w:rPr>
          <w:rFonts w:ascii="Garamond" w:eastAsia="Calibri" w:hAnsi="Garamond" w:cs="Sanskrit Text"/>
          <w:sz w:val="24"/>
          <w:szCs w:val="24"/>
        </w:rPr>
        <w:t xml:space="preserve"> (equity risk premium)</w:t>
      </w:r>
      <w:r w:rsidRPr="001A23D9">
        <w:rPr>
          <w:rFonts w:ascii="Garamond" w:eastAsia="Calibri" w:hAnsi="Garamond" w:cs="Sanskrit Text"/>
          <w:sz w:val="24"/>
          <w:szCs w:val="24"/>
        </w:rPr>
        <w:t xml:space="preserve">.  </w:t>
      </w:r>
      <w:r w:rsidR="008826C5" w:rsidRPr="001A23D9">
        <w:rPr>
          <w:rFonts w:ascii="Garamond" w:eastAsia="Calibri" w:hAnsi="Garamond" w:cs="Sanskrit Text"/>
          <w:sz w:val="24"/>
          <w:szCs w:val="24"/>
        </w:rPr>
        <w:t>The model</w:t>
      </w:r>
      <w:r w:rsidRPr="001A23D9">
        <w:rPr>
          <w:rFonts w:ascii="Garamond" w:eastAsia="Calibri" w:hAnsi="Garamond" w:cs="Sanskrit Text"/>
          <w:sz w:val="24"/>
          <w:szCs w:val="24"/>
        </w:rPr>
        <w:t xml:space="preserve"> </w:t>
      </w:r>
      <w:r w:rsidR="005B1F2B">
        <w:rPr>
          <w:rFonts w:ascii="Garamond" w:eastAsia="Calibri" w:hAnsi="Garamond" w:cs="Sanskrit Text"/>
          <w:sz w:val="24"/>
          <w:szCs w:val="24"/>
        </w:rPr>
        <w:t xml:space="preserve">also </w:t>
      </w:r>
      <w:r w:rsidRPr="001A23D9">
        <w:rPr>
          <w:rFonts w:ascii="Garamond" w:eastAsia="Calibri" w:hAnsi="Garamond" w:cs="Sanskrit Text"/>
          <w:sz w:val="24"/>
          <w:szCs w:val="24"/>
        </w:rPr>
        <w:t xml:space="preserve">includes a factor </w:t>
      </w:r>
      <w:r w:rsidR="008546B6" w:rsidRPr="001A23D9">
        <w:rPr>
          <w:rFonts w:ascii="Garamond" w:eastAsia="Calibri" w:hAnsi="Garamond" w:cs="Sanskrit Text"/>
          <w:sz w:val="24"/>
          <w:szCs w:val="24"/>
        </w:rPr>
        <w:t>known as</w:t>
      </w:r>
      <w:r w:rsidRPr="001A23D9">
        <w:rPr>
          <w:rFonts w:ascii="Garamond" w:eastAsia="Calibri" w:hAnsi="Garamond" w:cs="Sanskrit Text"/>
          <w:sz w:val="24"/>
          <w:szCs w:val="24"/>
        </w:rPr>
        <w:t xml:space="preserve"> “</w:t>
      </w:r>
      <w:r w:rsidR="004D1E9E" w:rsidRPr="001A23D9">
        <w:rPr>
          <w:rFonts w:ascii="Garamond" w:eastAsia="Calibri" w:hAnsi="Garamond" w:cs="Sanskrit Text"/>
          <w:sz w:val="24"/>
          <w:szCs w:val="24"/>
        </w:rPr>
        <w:t>b</w:t>
      </w:r>
      <w:r w:rsidRPr="001A23D9">
        <w:rPr>
          <w:rFonts w:ascii="Garamond" w:eastAsia="Calibri" w:hAnsi="Garamond" w:cs="Sanskrit Text"/>
          <w:sz w:val="24"/>
          <w:szCs w:val="24"/>
        </w:rPr>
        <w:t>eta” to</w:t>
      </w:r>
      <w:r w:rsidR="005B1F2B">
        <w:rPr>
          <w:rFonts w:ascii="Garamond" w:eastAsia="Calibri" w:hAnsi="Garamond" w:cs="Sanskrit Text"/>
          <w:sz w:val="24"/>
          <w:szCs w:val="24"/>
        </w:rPr>
        <w:t xml:space="preserve"> </w:t>
      </w:r>
      <w:r w:rsidRPr="001A23D9">
        <w:rPr>
          <w:rFonts w:ascii="Garamond" w:eastAsia="Calibri" w:hAnsi="Garamond" w:cs="Sanskrit Text"/>
          <w:sz w:val="24"/>
          <w:szCs w:val="24"/>
        </w:rPr>
        <w:t>account for the risk in a specific industry</w:t>
      </w:r>
      <w:r w:rsidR="000C51AF" w:rsidRPr="001A23D9">
        <w:rPr>
          <w:rFonts w:ascii="Garamond" w:eastAsia="Calibri" w:hAnsi="Garamond" w:cs="Sanskrit Text"/>
          <w:sz w:val="24"/>
          <w:szCs w:val="24"/>
        </w:rPr>
        <w:t xml:space="preserve"> or market</w:t>
      </w:r>
      <w:r w:rsidRPr="001A23D9">
        <w:rPr>
          <w:rFonts w:ascii="Garamond" w:eastAsia="Calibri" w:hAnsi="Garamond" w:cs="Sanskrit Text"/>
          <w:sz w:val="24"/>
          <w:szCs w:val="24"/>
        </w:rPr>
        <w:t xml:space="preserve"> compared to the </w:t>
      </w:r>
      <w:r w:rsidR="008E6784" w:rsidRPr="001A23D9">
        <w:rPr>
          <w:rFonts w:ascii="Garamond" w:eastAsia="Calibri" w:hAnsi="Garamond" w:cs="Sanskrit Text"/>
          <w:sz w:val="24"/>
          <w:szCs w:val="24"/>
        </w:rPr>
        <w:t>overall</w:t>
      </w:r>
      <w:r w:rsidRPr="001A23D9">
        <w:rPr>
          <w:rFonts w:ascii="Garamond" w:eastAsia="Calibri" w:hAnsi="Garamond" w:cs="Sanskrit Text"/>
          <w:sz w:val="24"/>
          <w:szCs w:val="24"/>
        </w:rPr>
        <w:t xml:space="preserve"> market.  The formula for </w:t>
      </w:r>
      <w:r w:rsidR="005B1F2B">
        <w:rPr>
          <w:rFonts w:ascii="Garamond" w:eastAsia="Calibri" w:hAnsi="Garamond" w:cs="Sanskrit Text"/>
          <w:sz w:val="24"/>
          <w:szCs w:val="24"/>
        </w:rPr>
        <w:t>the CAPM</w:t>
      </w:r>
      <w:r w:rsidRPr="001A23D9">
        <w:rPr>
          <w:rFonts w:ascii="Garamond" w:eastAsia="Calibri" w:hAnsi="Garamond" w:cs="Sanskrit Text"/>
          <w:sz w:val="24"/>
          <w:szCs w:val="24"/>
        </w:rPr>
        <w:t xml:space="preserve"> model 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805"/>
        <w:gridCol w:w="4897"/>
      </w:tblGrid>
      <w:tr w:rsidR="003D1435" w:rsidRPr="001A23D9" w14:paraId="01875A0E" w14:textId="77777777" w:rsidTr="003A6E31">
        <w:trPr>
          <w:trHeight w:val="350"/>
          <w:jc w:val="center"/>
        </w:trPr>
        <w:tc>
          <w:tcPr>
            <w:tcW w:w="8762" w:type="dxa"/>
            <w:gridSpan w:val="3"/>
            <w:vAlign w:val="center"/>
          </w:tcPr>
          <w:p w14:paraId="1BCC23D5" w14:textId="0E039932" w:rsidR="003D1435" w:rsidRPr="001A23D9" w:rsidRDefault="003D1435" w:rsidP="003A6E31">
            <w:pPr>
              <w:spacing w:after="160"/>
              <w:jc w:val="center"/>
              <w:rPr>
                <w:rFonts w:ascii="Garamond" w:eastAsia="Calibri" w:hAnsi="Garamond" w:cs="Sanskrit Text"/>
                <w:sz w:val="24"/>
                <w:szCs w:val="24"/>
              </w:rPr>
            </w:pPr>
            <w:r w:rsidRPr="001A23D9">
              <w:rPr>
                <w:rFonts w:ascii="Garamond" w:eastAsia="Calibri" w:hAnsi="Garamond" w:cs="Sanskrit Text"/>
                <w:b/>
                <w:bCs/>
                <w:sz w:val="24"/>
                <w:szCs w:val="24"/>
              </w:rPr>
              <w:t>K</w:t>
            </w:r>
            <w:r w:rsidRPr="001A23D9">
              <w:rPr>
                <w:rFonts w:ascii="Garamond" w:eastAsia="Calibri" w:hAnsi="Garamond" w:cs="Sanskrit Text"/>
                <w:b/>
                <w:bCs/>
                <w:sz w:val="24"/>
                <w:szCs w:val="24"/>
                <w:vertAlign w:val="subscript"/>
              </w:rPr>
              <w:t>e</w:t>
            </w:r>
            <w:r w:rsidRPr="001A23D9">
              <w:rPr>
                <w:rFonts w:ascii="Garamond" w:eastAsia="Calibri" w:hAnsi="Garamond" w:cs="Sanskrit Text"/>
                <w:b/>
                <w:bCs/>
                <w:sz w:val="24"/>
                <w:szCs w:val="24"/>
              </w:rPr>
              <w:t xml:space="preserve"> = R</w:t>
            </w:r>
            <w:r w:rsidRPr="001A23D9">
              <w:rPr>
                <w:rFonts w:ascii="Garamond" w:eastAsia="Calibri" w:hAnsi="Garamond" w:cs="Sanskrit Text"/>
                <w:b/>
                <w:bCs/>
                <w:sz w:val="24"/>
                <w:szCs w:val="24"/>
                <w:vertAlign w:val="subscript"/>
              </w:rPr>
              <w:t xml:space="preserve">f </w:t>
            </w:r>
            <w:r w:rsidRPr="001A23D9">
              <w:rPr>
                <w:rFonts w:ascii="Garamond" w:eastAsia="Calibri" w:hAnsi="Garamond" w:cs="Sanskrit Text"/>
                <w:b/>
                <w:bCs/>
                <w:sz w:val="24"/>
                <w:szCs w:val="24"/>
              </w:rPr>
              <w:t>+ [</w:t>
            </w:r>
            <w:r w:rsidR="00557A64" w:rsidRPr="00557A64">
              <w:rPr>
                <w:rFonts w:ascii="Garamond" w:eastAsia="Calibri" w:hAnsi="Garamond" w:cs="Sanskrit Text"/>
                <w:b/>
                <w:bCs/>
                <w:sz w:val="24"/>
                <w:szCs w:val="24"/>
              </w:rPr>
              <w:t>β</w:t>
            </w:r>
            <w:r w:rsidRPr="001A23D9">
              <w:rPr>
                <w:rFonts w:ascii="Garamond" w:eastAsia="Calibri" w:hAnsi="Garamond" w:cs="Sanskrit Text"/>
                <w:b/>
                <w:bCs/>
                <w:sz w:val="24"/>
                <w:szCs w:val="24"/>
              </w:rPr>
              <w:t xml:space="preserve"> * (R</w:t>
            </w:r>
            <w:r w:rsidRPr="001A23D9">
              <w:rPr>
                <w:rFonts w:ascii="Garamond" w:eastAsia="Calibri" w:hAnsi="Garamond" w:cs="Sanskrit Text"/>
                <w:b/>
                <w:bCs/>
                <w:sz w:val="24"/>
                <w:szCs w:val="24"/>
                <w:vertAlign w:val="subscript"/>
              </w:rPr>
              <w:t>m</w:t>
            </w:r>
            <w:r w:rsidRPr="001A23D9">
              <w:rPr>
                <w:rFonts w:ascii="Garamond" w:eastAsia="Calibri" w:hAnsi="Garamond" w:cs="Sanskrit Text"/>
                <w:b/>
                <w:bCs/>
                <w:sz w:val="24"/>
                <w:szCs w:val="24"/>
              </w:rPr>
              <w:t>-R</w:t>
            </w:r>
            <w:r w:rsidRPr="001A23D9">
              <w:rPr>
                <w:rFonts w:ascii="Garamond" w:eastAsia="Calibri" w:hAnsi="Garamond" w:cs="Sanskrit Text"/>
                <w:b/>
                <w:bCs/>
                <w:sz w:val="24"/>
                <w:szCs w:val="24"/>
                <w:vertAlign w:val="subscript"/>
              </w:rPr>
              <w:t>f</w:t>
            </w:r>
            <w:r w:rsidRPr="001A23D9">
              <w:rPr>
                <w:rFonts w:ascii="Garamond" w:eastAsia="Calibri" w:hAnsi="Garamond" w:cs="Sanskrit Text"/>
                <w:b/>
                <w:bCs/>
                <w:sz w:val="24"/>
                <w:szCs w:val="24"/>
              </w:rPr>
              <w:t>)]</w:t>
            </w:r>
          </w:p>
        </w:tc>
      </w:tr>
      <w:tr w:rsidR="003D1435" w:rsidRPr="001A23D9" w14:paraId="79236C5D" w14:textId="77777777" w:rsidTr="003D1435">
        <w:trPr>
          <w:jc w:val="center"/>
        </w:trPr>
        <w:tc>
          <w:tcPr>
            <w:tcW w:w="3060" w:type="dxa"/>
          </w:tcPr>
          <w:p w14:paraId="40967CFD" w14:textId="77777777" w:rsidR="003D1435" w:rsidRPr="001A23D9" w:rsidRDefault="003D1435" w:rsidP="003A6E31">
            <w:pPr>
              <w:jc w:val="right"/>
              <w:rPr>
                <w:rFonts w:ascii="Garamond" w:hAnsi="Garamond" w:cs="Sanskrit Text"/>
                <w:sz w:val="24"/>
                <w:szCs w:val="24"/>
              </w:rPr>
            </w:pPr>
            <w:r w:rsidRPr="001A23D9">
              <w:rPr>
                <w:rFonts w:ascii="Garamond" w:hAnsi="Garamond" w:cs="Sanskrit Text"/>
                <w:sz w:val="24"/>
                <w:szCs w:val="24"/>
              </w:rPr>
              <w:t xml:space="preserve">Where: </w:t>
            </w:r>
          </w:p>
        </w:tc>
        <w:tc>
          <w:tcPr>
            <w:tcW w:w="805" w:type="dxa"/>
          </w:tcPr>
          <w:p w14:paraId="6845CEB3" w14:textId="77777777" w:rsidR="003D1435" w:rsidRPr="001A23D9" w:rsidRDefault="003D1435" w:rsidP="003A6E31">
            <w:pPr>
              <w:jc w:val="right"/>
              <w:rPr>
                <w:rFonts w:ascii="Garamond" w:hAnsi="Garamond" w:cs="Sanskrit Text"/>
                <w:sz w:val="24"/>
                <w:szCs w:val="24"/>
              </w:rPr>
            </w:pPr>
            <w:r w:rsidRPr="001A23D9">
              <w:rPr>
                <w:rFonts w:ascii="Garamond" w:eastAsia="Calibri" w:hAnsi="Garamond" w:cs="Sanskrit Text"/>
                <w:sz w:val="24"/>
                <w:szCs w:val="24"/>
              </w:rPr>
              <w:t>K</w:t>
            </w:r>
            <w:r w:rsidRPr="001A23D9">
              <w:rPr>
                <w:rFonts w:ascii="Garamond" w:eastAsia="Calibri" w:hAnsi="Garamond" w:cs="Sanskrit Text"/>
                <w:sz w:val="24"/>
                <w:szCs w:val="24"/>
                <w:vertAlign w:val="subscript"/>
              </w:rPr>
              <w:t>e</w:t>
            </w:r>
          </w:p>
        </w:tc>
        <w:tc>
          <w:tcPr>
            <w:tcW w:w="4897" w:type="dxa"/>
          </w:tcPr>
          <w:p w14:paraId="591797B2" w14:textId="77777777" w:rsidR="003D1435" w:rsidRPr="001A23D9" w:rsidRDefault="003D1435" w:rsidP="003A6E31">
            <w:pPr>
              <w:rPr>
                <w:rFonts w:ascii="Garamond" w:hAnsi="Garamond" w:cs="Sanskrit Text"/>
                <w:sz w:val="24"/>
                <w:szCs w:val="24"/>
              </w:rPr>
            </w:pPr>
            <w:r w:rsidRPr="001A23D9">
              <w:rPr>
                <w:rFonts w:ascii="Garamond" w:hAnsi="Garamond" w:cs="Sanskrit Text"/>
                <w:sz w:val="24"/>
                <w:szCs w:val="24"/>
              </w:rPr>
              <w:t>= Market Cost of Equity</w:t>
            </w:r>
          </w:p>
        </w:tc>
      </w:tr>
      <w:tr w:rsidR="003D1435" w:rsidRPr="001A23D9" w14:paraId="7A723668" w14:textId="77777777" w:rsidTr="003D1435">
        <w:trPr>
          <w:jc w:val="center"/>
        </w:trPr>
        <w:tc>
          <w:tcPr>
            <w:tcW w:w="3060" w:type="dxa"/>
          </w:tcPr>
          <w:p w14:paraId="5F0130C8" w14:textId="77777777" w:rsidR="003D1435" w:rsidRPr="001A23D9" w:rsidRDefault="003D1435" w:rsidP="003A6E31">
            <w:pPr>
              <w:rPr>
                <w:rFonts w:ascii="Garamond" w:hAnsi="Garamond" w:cs="Sanskrit Text"/>
                <w:sz w:val="24"/>
                <w:szCs w:val="24"/>
              </w:rPr>
            </w:pPr>
          </w:p>
        </w:tc>
        <w:tc>
          <w:tcPr>
            <w:tcW w:w="805" w:type="dxa"/>
          </w:tcPr>
          <w:p w14:paraId="4BB95261" w14:textId="77777777" w:rsidR="003D1435" w:rsidRPr="001A23D9" w:rsidRDefault="003D1435" w:rsidP="003A6E31">
            <w:pPr>
              <w:jc w:val="right"/>
              <w:rPr>
                <w:rFonts w:ascii="Garamond" w:hAnsi="Garamond" w:cs="Sanskrit Text"/>
                <w:sz w:val="24"/>
                <w:szCs w:val="24"/>
              </w:rPr>
            </w:pPr>
            <w:r w:rsidRPr="001A23D9">
              <w:rPr>
                <w:rFonts w:ascii="Garamond" w:eastAsia="Calibri" w:hAnsi="Garamond" w:cs="Sanskrit Text"/>
                <w:sz w:val="24"/>
                <w:szCs w:val="24"/>
              </w:rPr>
              <w:t>R</w:t>
            </w:r>
            <w:r w:rsidRPr="001A23D9">
              <w:rPr>
                <w:rFonts w:ascii="Garamond" w:eastAsia="Calibri" w:hAnsi="Garamond" w:cs="Sanskrit Text"/>
                <w:sz w:val="24"/>
                <w:szCs w:val="24"/>
                <w:vertAlign w:val="subscript"/>
              </w:rPr>
              <w:t>f</w:t>
            </w:r>
          </w:p>
        </w:tc>
        <w:tc>
          <w:tcPr>
            <w:tcW w:w="4897" w:type="dxa"/>
          </w:tcPr>
          <w:p w14:paraId="1F9A3865" w14:textId="77777777" w:rsidR="003D1435" w:rsidRPr="001A23D9" w:rsidRDefault="003D1435" w:rsidP="003A6E31">
            <w:pPr>
              <w:rPr>
                <w:rFonts w:ascii="Garamond" w:hAnsi="Garamond" w:cs="Sanskrit Text"/>
                <w:sz w:val="24"/>
                <w:szCs w:val="24"/>
              </w:rPr>
            </w:pPr>
            <w:r w:rsidRPr="001A23D9">
              <w:rPr>
                <w:rFonts w:ascii="Garamond" w:hAnsi="Garamond" w:cs="Sanskrit Text"/>
                <w:sz w:val="24"/>
                <w:szCs w:val="24"/>
              </w:rPr>
              <w:t>= Risk-Free Rate</w:t>
            </w:r>
          </w:p>
        </w:tc>
      </w:tr>
      <w:tr w:rsidR="003D1435" w:rsidRPr="001A23D9" w14:paraId="441BD78B" w14:textId="77777777" w:rsidTr="003D1435">
        <w:trPr>
          <w:jc w:val="center"/>
        </w:trPr>
        <w:tc>
          <w:tcPr>
            <w:tcW w:w="3060" w:type="dxa"/>
          </w:tcPr>
          <w:p w14:paraId="0A9E2B12" w14:textId="77777777" w:rsidR="003D1435" w:rsidRPr="001A23D9" w:rsidRDefault="003D1435" w:rsidP="003A6E31">
            <w:pPr>
              <w:rPr>
                <w:rFonts w:ascii="Garamond" w:hAnsi="Garamond" w:cs="Sanskrit Text"/>
                <w:sz w:val="24"/>
                <w:szCs w:val="24"/>
              </w:rPr>
            </w:pPr>
          </w:p>
        </w:tc>
        <w:tc>
          <w:tcPr>
            <w:tcW w:w="805" w:type="dxa"/>
          </w:tcPr>
          <w:p w14:paraId="70E70B9B" w14:textId="77777777" w:rsidR="003D1435" w:rsidRPr="001A23D9" w:rsidRDefault="003D1435" w:rsidP="003A6E31">
            <w:pPr>
              <w:jc w:val="right"/>
              <w:rPr>
                <w:rFonts w:ascii="Garamond" w:hAnsi="Garamond" w:cs="Sanskrit Text"/>
                <w:sz w:val="24"/>
                <w:szCs w:val="24"/>
              </w:rPr>
            </w:pPr>
            <w:bookmarkStart w:id="3" w:name="_Hlk99984103"/>
            <w:r w:rsidRPr="001A23D9">
              <w:rPr>
                <w:rFonts w:ascii="Garamond" w:hAnsi="Garamond" w:cs="Calibri"/>
                <w:sz w:val="24"/>
                <w:szCs w:val="24"/>
              </w:rPr>
              <w:t>β</w:t>
            </w:r>
            <w:bookmarkEnd w:id="3"/>
          </w:p>
        </w:tc>
        <w:tc>
          <w:tcPr>
            <w:tcW w:w="4897" w:type="dxa"/>
          </w:tcPr>
          <w:p w14:paraId="6AB530BE" w14:textId="77777777" w:rsidR="003D1435" w:rsidRPr="001A23D9" w:rsidRDefault="003D1435" w:rsidP="003A6E31">
            <w:pPr>
              <w:rPr>
                <w:rFonts w:ascii="Garamond" w:hAnsi="Garamond" w:cs="Sanskrit Text"/>
                <w:sz w:val="24"/>
                <w:szCs w:val="24"/>
              </w:rPr>
            </w:pPr>
            <w:r w:rsidRPr="001A23D9">
              <w:rPr>
                <w:rFonts w:ascii="Garamond" w:hAnsi="Garamond" w:cs="Sanskrit Text"/>
                <w:sz w:val="24"/>
                <w:szCs w:val="24"/>
              </w:rPr>
              <w:t>= Beta</w:t>
            </w:r>
          </w:p>
        </w:tc>
      </w:tr>
      <w:tr w:rsidR="003D1435" w:rsidRPr="001A23D9" w14:paraId="0DF061D7" w14:textId="77777777" w:rsidTr="003D1435">
        <w:trPr>
          <w:jc w:val="center"/>
        </w:trPr>
        <w:tc>
          <w:tcPr>
            <w:tcW w:w="3060" w:type="dxa"/>
          </w:tcPr>
          <w:p w14:paraId="7B28C643" w14:textId="77777777" w:rsidR="003D1435" w:rsidRPr="001A23D9" w:rsidRDefault="003D1435" w:rsidP="003A6E31">
            <w:pPr>
              <w:rPr>
                <w:rFonts w:ascii="Garamond" w:hAnsi="Garamond"/>
                <w:sz w:val="24"/>
                <w:szCs w:val="24"/>
              </w:rPr>
            </w:pPr>
          </w:p>
        </w:tc>
        <w:tc>
          <w:tcPr>
            <w:tcW w:w="805" w:type="dxa"/>
          </w:tcPr>
          <w:p w14:paraId="664ADF37" w14:textId="77777777" w:rsidR="003D1435" w:rsidRPr="001A23D9" w:rsidRDefault="003D1435" w:rsidP="003A6E31">
            <w:pPr>
              <w:jc w:val="right"/>
              <w:rPr>
                <w:rFonts w:ascii="Garamond" w:hAnsi="Garamond"/>
                <w:sz w:val="24"/>
                <w:szCs w:val="24"/>
              </w:rPr>
            </w:pPr>
            <w:r w:rsidRPr="001A23D9">
              <w:rPr>
                <w:rFonts w:ascii="Garamond" w:eastAsia="Calibri" w:hAnsi="Garamond" w:cs="Sanskrit Text"/>
                <w:sz w:val="24"/>
                <w:szCs w:val="24"/>
              </w:rPr>
              <w:t>R</w:t>
            </w:r>
            <w:r w:rsidRPr="001A23D9">
              <w:rPr>
                <w:rFonts w:ascii="Garamond" w:eastAsia="Calibri" w:hAnsi="Garamond" w:cs="Sanskrit Text"/>
                <w:sz w:val="24"/>
                <w:szCs w:val="24"/>
                <w:vertAlign w:val="subscript"/>
              </w:rPr>
              <w:t>m</w:t>
            </w:r>
          </w:p>
        </w:tc>
        <w:tc>
          <w:tcPr>
            <w:tcW w:w="4897" w:type="dxa"/>
          </w:tcPr>
          <w:p w14:paraId="616229F4" w14:textId="77777777" w:rsidR="003D1435" w:rsidRPr="001A23D9" w:rsidRDefault="003D1435" w:rsidP="003A6E31">
            <w:pPr>
              <w:rPr>
                <w:rFonts w:ascii="Garamond" w:hAnsi="Garamond" w:cs="Sanskrit Text"/>
                <w:sz w:val="24"/>
                <w:szCs w:val="24"/>
              </w:rPr>
            </w:pPr>
            <w:r w:rsidRPr="001A23D9">
              <w:rPr>
                <w:rFonts w:ascii="Garamond" w:hAnsi="Garamond" w:cs="Sanskrit Text"/>
                <w:sz w:val="24"/>
                <w:szCs w:val="24"/>
              </w:rPr>
              <w:t>= Return on Market</w:t>
            </w:r>
          </w:p>
        </w:tc>
      </w:tr>
      <w:tr w:rsidR="003D1435" w:rsidRPr="001A23D9" w14:paraId="3E4DCC98" w14:textId="77777777" w:rsidTr="003A6E31">
        <w:trPr>
          <w:jc w:val="center"/>
        </w:trPr>
        <w:tc>
          <w:tcPr>
            <w:tcW w:w="3060" w:type="dxa"/>
          </w:tcPr>
          <w:p w14:paraId="59E633AB" w14:textId="77777777" w:rsidR="003D1435" w:rsidRPr="001A23D9" w:rsidRDefault="003D1435" w:rsidP="003A6E31">
            <w:pPr>
              <w:rPr>
                <w:rFonts w:ascii="Garamond" w:hAnsi="Garamond"/>
                <w:sz w:val="24"/>
                <w:szCs w:val="24"/>
              </w:rPr>
            </w:pPr>
          </w:p>
        </w:tc>
        <w:tc>
          <w:tcPr>
            <w:tcW w:w="805" w:type="dxa"/>
            <w:tcMar>
              <w:left w:w="0" w:type="dxa"/>
              <w:right w:w="0" w:type="dxa"/>
            </w:tcMar>
          </w:tcPr>
          <w:p w14:paraId="6F591AA8" w14:textId="77777777" w:rsidR="003D1435" w:rsidRPr="001A23D9" w:rsidRDefault="003D1435" w:rsidP="003A6E31">
            <w:pPr>
              <w:jc w:val="right"/>
              <w:rPr>
                <w:rFonts w:ascii="Garamond" w:hAnsi="Garamond"/>
                <w:sz w:val="24"/>
                <w:szCs w:val="24"/>
              </w:rPr>
            </w:pPr>
            <w:r w:rsidRPr="001A23D9">
              <w:rPr>
                <w:rFonts w:ascii="Garamond" w:eastAsia="Calibri" w:hAnsi="Garamond" w:cs="Sanskrit Text"/>
                <w:sz w:val="24"/>
                <w:szCs w:val="24"/>
              </w:rPr>
              <w:t>(R</w:t>
            </w:r>
            <w:r w:rsidRPr="001A23D9">
              <w:rPr>
                <w:rFonts w:ascii="Garamond" w:eastAsia="Calibri" w:hAnsi="Garamond" w:cs="Sanskrit Text"/>
                <w:sz w:val="24"/>
                <w:szCs w:val="24"/>
                <w:vertAlign w:val="subscript"/>
              </w:rPr>
              <w:t>m</w:t>
            </w:r>
            <w:r w:rsidRPr="001A23D9">
              <w:rPr>
                <w:rFonts w:ascii="Garamond" w:eastAsia="Calibri" w:hAnsi="Garamond" w:cs="Sanskrit Text"/>
                <w:sz w:val="24"/>
                <w:szCs w:val="24"/>
              </w:rPr>
              <w:t>-R</w:t>
            </w:r>
            <w:r w:rsidRPr="001A23D9">
              <w:rPr>
                <w:rFonts w:ascii="Garamond" w:eastAsia="Calibri" w:hAnsi="Garamond" w:cs="Sanskrit Text"/>
                <w:sz w:val="24"/>
                <w:szCs w:val="24"/>
                <w:vertAlign w:val="subscript"/>
              </w:rPr>
              <w:t>f</w:t>
            </w:r>
            <w:r w:rsidRPr="001A23D9">
              <w:rPr>
                <w:rFonts w:ascii="Garamond" w:eastAsia="Calibri" w:hAnsi="Garamond" w:cs="Sanskrit Text"/>
                <w:sz w:val="24"/>
                <w:szCs w:val="24"/>
              </w:rPr>
              <w:t>)</w:t>
            </w:r>
          </w:p>
        </w:tc>
        <w:tc>
          <w:tcPr>
            <w:tcW w:w="4897" w:type="dxa"/>
          </w:tcPr>
          <w:p w14:paraId="4860A2AE" w14:textId="77777777" w:rsidR="003D1435" w:rsidRPr="001A23D9" w:rsidRDefault="003D1435" w:rsidP="003A6E31">
            <w:pPr>
              <w:rPr>
                <w:rFonts w:ascii="Garamond" w:hAnsi="Garamond" w:cs="Sanskrit Text"/>
                <w:sz w:val="24"/>
                <w:szCs w:val="24"/>
              </w:rPr>
            </w:pPr>
            <w:r w:rsidRPr="001A23D9">
              <w:rPr>
                <w:rFonts w:ascii="Garamond" w:hAnsi="Garamond" w:cs="Sanskrit Text"/>
                <w:sz w:val="24"/>
                <w:szCs w:val="24"/>
              </w:rPr>
              <w:t>= Equity Risk Premium</w:t>
            </w:r>
          </w:p>
        </w:tc>
      </w:tr>
    </w:tbl>
    <w:p w14:paraId="6D3ABAB6" w14:textId="77777777" w:rsidR="001A23D9" w:rsidRDefault="001A23D9" w:rsidP="003D1435">
      <w:pPr>
        <w:spacing w:before="160" w:after="0" w:line="259" w:lineRule="auto"/>
        <w:rPr>
          <w:rFonts w:ascii="Garamond" w:eastAsia="Calibri" w:hAnsi="Garamond" w:cs="Sanskrit Text"/>
          <w:b/>
          <w:bCs/>
          <w:i/>
          <w:iCs/>
          <w:sz w:val="24"/>
          <w:szCs w:val="24"/>
        </w:rPr>
      </w:pPr>
    </w:p>
    <w:p w14:paraId="5FE1A283" w14:textId="3FC46A9C" w:rsidR="0056059E" w:rsidRPr="001A23D9" w:rsidRDefault="0056059E" w:rsidP="003D1435">
      <w:pPr>
        <w:spacing w:before="160" w:after="0" w:line="259" w:lineRule="auto"/>
        <w:rPr>
          <w:rFonts w:ascii="Garamond" w:eastAsia="Calibri" w:hAnsi="Garamond" w:cs="Sanskrit Text"/>
          <w:b/>
          <w:bCs/>
          <w:i/>
          <w:iCs/>
          <w:sz w:val="24"/>
          <w:szCs w:val="24"/>
        </w:rPr>
      </w:pPr>
      <w:r w:rsidRPr="001A23D9">
        <w:rPr>
          <w:rFonts w:ascii="Garamond" w:eastAsia="Calibri" w:hAnsi="Garamond" w:cs="Sanskrit Text"/>
          <w:b/>
          <w:bCs/>
          <w:i/>
          <w:iCs/>
          <w:sz w:val="24"/>
          <w:szCs w:val="24"/>
        </w:rPr>
        <w:t>Risk Free Rate</w:t>
      </w:r>
    </w:p>
    <w:p w14:paraId="0BBB45DA" w14:textId="5B0B6C1B" w:rsidR="00D10E8F" w:rsidRPr="001A23D9" w:rsidRDefault="008202E9" w:rsidP="004E42CC">
      <w:pPr>
        <w:spacing w:after="160" w:line="259" w:lineRule="auto"/>
        <w:rPr>
          <w:rFonts w:ascii="Garamond" w:eastAsia="Calibri" w:hAnsi="Garamond" w:cs="Sanskrit Text"/>
          <w:sz w:val="24"/>
          <w:szCs w:val="24"/>
        </w:rPr>
      </w:pPr>
      <w:r>
        <w:rPr>
          <w:rFonts w:ascii="Garamond" w:eastAsia="Calibri" w:hAnsi="Garamond" w:cs="Sanskrit Text"/>
          <w:sz w:val="24"/>
          <w:szCs w:val="24"/>
        </w:rPr>
        <w:t>The risk-free rate of return is the interest rate an investor can expect to earn on an investment with zero risk. As a proxy for this rate most practitioners will evaluate the yield on</w:t>
      </w:r>
      <w:r w:rsidR="0056059E" w:rsidRPr="001A23D9">
        <w:rPr>
          <w:rFonts w:ascii="Garamond" w:eastAsia="Calibri" w:hAnsi="Garamond" w:cs="Sanskrit Text"/>
          <w:sz w:val="24"/>
          <w:szCs w:val="24"/>
        </w:rPr>
        <w:t xml:space="preserve"> </w:t>
      </w:r>
      <w:r w:rsidR="000E314B">
        <w:rPr>
          <w:rFonts w:ascii="Garamond" w:eastAsia="Calibri" w:hAnsi="Garamond" w:cs="Sanskrit Text"/>
          <w:sz w:val="24"/>
          <w:szCs w:val="24"/>
        </w:rPr>
        <w:t xml:space="preserve">a </w:t>
      </w:r>
      <w:r w:rsidR="0056059E" w:rsidRPr="001A23D9">
        <w:rPr>
          <w:rFonts w:ascii="Garamond" w:eastAsia="Calibri" w:hAnsi="Garamond" w:cs="Sanskrit Text"/>
          <w:sz w:val="24"/>
          <w:szCs w:val="24"/>
        </w:rPr>
        <w:t>U</w:t>
      </w:r>
      <w:r w:rsidR="00132C12" w:rsidRPr="001A23D9">
        <w:rPr>
          <w:rFonts w:ascii="Garamond" w:eastAsia="Calibri" w:hAnsi="Garamond" w:cs="Sanskrit Text"/>
          <w:sz w:val="24"/>
          <w:szCs w:val="24"/>
        </w:rPr>
        <w:t>.</w:t>
      </w:r>
      <w:r w:rsidR="0056059E" w:rsidRPr="001A23D9">
        <w:rPr>
          <w:rFonts w:ascii="Garamond" w:eastAsia="Calibri" w:hAnsi="Garamond" w:cs="Sanskrit Text"/>
          <w:sz w:val="24"/>
          <w:szCs w:val="24"/>
        </w:rPr>
        <w:t>S</w:t>
      </w:r>
      <w:r w:rsidR="00132C12" w:rsidRPr="001A23D9">
        <w:rPr>
          <w:rFonts w:ascii="Garamond" w:eastAsia="Calibri" w:hAnsi="Garamond" w:cs="Sanskrit Text"/>
          <w:sz w:val="24"/>
          <w:szCs w:val="24"/>
        </w:rPr>
        <w:t>.</w:t>
      </w:r>
      <w:r w:rsidR="0056059E" w:rsidRPr="001A23D9">
        <w:rPr>
          <w:rFonts w:ascii="Garamond" w:eastAsia="Calibri" w:hAnsi="Garamond" w:cs="Sanskrit Text"/>
          <w:sz w:val="24"/>
          <w:szCs w:val="24"/>
        </w:rPr>
        <w:t xml:space="preserve"> government backed</w:t>
      </w:r>
      <w:r w:rsidR="005B1F2B">
        <w:rPr>
          <w:rFonts w:ascii="Garamond" w:eastAsia="Calibri" w:hAnsi="Garamond" w:cs="Sanskrit Text"/>
          <w:sz w:val="24"/>
          <w:szCs w:val="24"/>
        </w:rPr>
        <w:t xml:space="preserve"> </w:t>
      </w:r>
      <w:r w:rsidR="000E314B">
        <w:rPr>
          <w:rFonts w:ascii="Garamond" w:eastAsia="Calibri" w:hAnsi="Garamond" w:cs="Sanskrit Text"/>
          <w:sz w:val="24"/>
          <w:szCs w:val="24"/>
        </w:rPr>
        <w:t>Treasury bond as generally the safest investment an investor can make, with little to no risk</w:t>
      </w:r>
      <w:r>
        <w:rPr>
          <w:rFonts w:ascii="Garamond" w:eastAsia="Calibri" w:hAnsi="Garamond" w:cs="Sanskrit Text"/>
          <w:sz w:val="24"/>
          <w:szCs w:val="24"/>
        </w:rPr>
        <w:t xml:space="preserve">. </w:t>
      </w:r>
      <w:r w:rsidR="002948C5" w:rsidRPr="001A23D9">
        <w:rPr>
          <w:rFonts w:ascii="Garamond" w:eastAsia="Calibri" w:hAnsi="Garamond" w:cs="Sanskrit Text"/>
          <w:sz w:val="24"/>
          <w:szCs w:val="24"/>
        </w:rPr>
        <w:t xml:space="preserve">For </w:t>
      </w:r>
      <w:r w:rsidR="00A007A4">
        <w:rPr>
          <w:rFonts w:ascii="Garamond" w:eastAsia="Calibri" w:hAnsi="Garamond" w:cs="Sanskrit Text"/>
          <w:sz w:val="24"/>
          <w:szCs w:val="24"/>
        </w:rPr>
        <w:t>the purposes of our 202</w:t>
      </w:r>
      <w:r w:rsidR="002E0371">
        <w:rPr>
          <w:rFonts w:ascii="Garamond" w:eastAsia="Calibri" w:hAnsi="Garamond" w:cs="Sanskrit Text"/>
          <w:sz w:val="24"/>
          <w:szCs w:val="24"/>
        </w:rPr>
        <w:t>4</w:t>
      </w:r>
      <w:r w:rsidR="00A007A4">
        <w:rPr>
          <w:rFonts w:ascii="Garamond" w:eastAsia="Calibri" w:hAnsi="Garamond" w:cs="Sanskrit Text"/>
          <w:sz w:val="24"/>
          <w:szCs w:val="24"/>
        </w:rPr>
        <w:t xml:space="preserve"> rate </w:t>
      </w:r>
      <w:r w:rsidR="00A75269">
        <w:rPr>
          <w:rFonts w:ascii="Garamond" w:eastAsia="Calibri" w:hAnsi="Garamond" w:cs="Sanskrit Text"/>
          <w:sz w:val="24"/>
          <w:szCs w:val="24"/>
        </w:rPr>
        <w:t>studies,</w:t>
      </w:r>
      <w:r w:rsidR="00A007A4">
        <w:rPr>
          <w:rFonts w:ascii="Garamond" w:eastAsia="Calibri" w:hAnsi="Garamond" w:cs="Sanskrit Text"/>
          <w:sz w:val="24"/>
          <w:szCs w:val="24"/>
        </w:rPr>
        <w:t xml:space="preserve"> </w:t>
      </w:r>
      <w:r w:rsidR="002948C5" w:rsidRPr="001A23D9">
        <w:rPr>
          <w:rFonts w:ascii="Garamond" w:eastAsia="Calibri" w:hAnsi="Garamond" w:cs="Sanskrit Text"/>
          <w:sz w:val="24"/>
          <w:szCs w:val="24"/>
        </w:rPr>
        <w:t xml:space="preserve">we have selected a risk-free rate of </w:t>
      </w:r>
      <w:r w:rsidR="002E0371">
        <w:rPr>
          <w:rFonts w:ascii="Garamond" w:eastAsia="Calibri" w:hAnsi="Garamond" w:cs="Sanskrit Text"/>
          <w:b/>
          <w:bCs/>
          <w:sz w:val="24"/>
          <w:szCs w:val="24"/>
        </w:rPr>
        <w:t>4</w:t>
      </w:r>
      <w:r w:rsidR="000E314B">
        <w:rPr>
          <w:rFonts w:ascii="Garamond" w:eastAsia="Calibri" w:hAnsi="Garamond" w:cs="Sanskrit Text"/>
          <w:b/>
          <w:bCs/>
          <w:sz w:val="24"/>
          <w:szCs w:val="24"/>
        </w:rPr>
        <w:t>.</w:t>
      </w:r>
      <w:r w:rsidR="0067654B">
        <w:rPr>
          <w:rFonts w:ascii="Garamond" w:eastAsia="Calibri" w:hAnsi="Garamond" w:cs="Sanskrit Text"/>
          <w:b/>
          <w:bCs/>
          <w:sz w:val="24"/>
          <w:szCs w:val="24"/>
        </w:rPr>
        <w:t>76</w:t>
      </w:r>
      <w:r w:rsidR="002948C5" w:rsidRPr="001A23D9">
        <w:rPr>
          <w:rFonts w:ascii="Garamond" w:eastAsia="Calibri" w:hAnsi="Garamond" w:cs="Sanskrit Text"/>
          <w:b/>
          <w:bCs/>
          <w:sz w:val="24"/>
          <w:szCs w:val="24"/>
        </w:rPr>
        <w:t>%</w:t>
      </w:r>
      <w:r w:rsidR="002948C5" w:rsidRPr="001A23D9">
        <w:rPr>
          <w:rFonts w:ascii="Garamond" w:eastAsia="Calibri" w:hAnsi="Garamond" w:cs="Sanskrit Text"/>
          <w:sz w:val="24"/>
          <w:szCs w:val="24"/>
        </w:rPr>
        <w:t xml:space="preserve"> based on the</w:t>
      </w:r>
      <w:r w:rsidR="00F1438A" w:rsidRPr="001A23D9">
        <w:rPr>
          <w:rFonts w:ascii="Garamond" w:eastAsia="Calibri" w:hAnsi="Garamond" w:cs="Sanskrit Text"/>
          <w:sz w:val="24"/>
          <w:szCs w:val="24"/>
        </w:rPr>
        <w:t xml:space="preserve"> following</w:t>
      </w:r>
      <w:r w:rsidR="002948C5" w:rsidRPr="001A23D9">
        <w:rPr>
          <w:rFonts w:ascii="Garamond" w:eastAsia="Calibri" w:hAnsi="Garamond" w:cs="Sanskrit Text"/>
          <w:sz w:val="24"/>
          <w:szCs w:val="24"/>
        </w:rPr>
        <w:t xml:space="preserve"> </w:t>
      </w:r>
      <w:r w:rsidR="0061215C" w:rsidRPr="001A23D9">
        <w:rPr>
          <w:rFonts w:ascii="Garamond" w:eastAsia="Calibri" w:hAnsi="Garamond" w:cs="Sanskrit Text"/>
          <w:sz w:val="24"/>
          <w:szCs w:val="24"/>
        </w:rPr>
        <w:t>202</w:t>
      </w:r>
      <w:r w:rsidR="002E0371">
        <w:rPr>
          <w:rFonts w:ascii="Garamond" w:eastAsia="Calibri" w:hAnsi="Garamond" w:cs="Sanskrit Text"/>
          <w:sz w:val="24"/>
          <w:szCs w:val="24"/>
        </w:rPr>
        <w:t>3</w:t>
      </w:r>
      <w:r w:rsidR="0061215C" w:rsidRPr="001A23D9">
        <w:rPr>
          <w:rFonts w:ascii="Garamond" w:eastAsia="Calibri" w:hAnsi="Garamond" w:cs="Sanskrit Text"/>
          <w:sz w:val="24"/>
          <w:szCs w:val="24"/>
        </w:rPr>
        <w:t xml:space="preserve">, </w:t>
      </w:r>
      <w:r w:rsidR="002D1574" w:rsidRPr="001A23D9">
        <w:rPr>
          <w:rFonts w:ascii="Garamond" w:eastAsia="Calibri" w:hAnsi="Garamond" w:cs="Sanskrit Text"/>
          <w:sz w:val="24"/>
          <w:szCs w:val="24"/>
        </w:rPr>
        <w:t>Fourth Q</w:t>
      </w:r>
      <w:r w:rsidR="002948C5" w:rsidRPr="001A23D9">
        <w:rPr>
          <w:rFonts w:ascii="Garamond" w:eastAsia="Calibri" w:hAnsi="Garamond" w:cs="Sanskrit Text"/>
          <w:sz w:val="24"/>
          <w:szCs w:val="24"/>
        </w:rPr>
        <w:t xml:space="preserve">uarter average </w:t>
      </w:r>
      <w:r w:rsidR="00B73FD7">
        <w:rPr>
          <w:rFonts w:ascii="Garamond" w:eastAsia="Calibri" w:hAnsi="Garamond" w:cs="Sanskrit Text"/>
          <w:sz w:val="24"/>
          <w:szCs w:val="24"/>
        </w:rPr>
        <w:t>YTM</w:t>
      </w:r>
      <w:r w:rsidR="0061215C" w:rsidRPr="001A23D9">
        <w:rPr>
          <w:rFonts w:ascii="Garamond" w:eastAsia="Calibri" w:hAnsi="Garamond" w:cs="Sanskrit Text"/>
          <w:sz w:val="24"/>
          <w:szCs w:val="24"/>
        </w:rPr>
        <w:t xml:space="preserve"> on a </w:t>
      </w:r>
      <w:r w:rsidR="002E0371">
        <w:rPr>
          <w:rFonts w:ascii="Garamond" w:eastAsia="Calibri" w:hAnsi="Garamond" w:cs="Sanskrit Text"/>
          <w:sz w:val="24"/>
          <w:szCs w:val="24"/>
        </w:rPr>
        <w:t>2</w:t>
      </w:r>
      <w:r w:rsidR="0061215C" w:rsidRPr="001A23D9">
        <w:rPr>
          <w:rFonts w:ascii="Garamond" w:eastAsia="Calibri" w:hAnsi="Garamond" w:cs="Sanskrit Text"/>
          <w:sz w:val="24"/>
          <w:szCs w:val="24"/>
        </w:rPr>
        <w:t>0-year Treasury bond</w:t>
      </w:r>
      <w:r w:rsidR="00C52C48">
        <w:rPr>
          <w:rFonts w:ascii="Garamond" w:eastAsia="Calibri" w:hAnsi="Garamond" w:cs="Sanskrit Text"/>
          <w:sz w:val="24"/>
          <w:szCs w:val="24"/>
        </w:rPr>
        <w:t>,</w:t>
      </w:r>
      <w:r w:rsidR="0061215C" w:rsidRPr="001A23D9">
        <w:rPr>
          <w:rFonts w:ascii="Garamond" w:eastAsia="Calibri" w:hAnsi="Garamond" w:cs="Sanskrit Text"/>
          <w:sz w:val="24"/>
          <w:szCs w:val="24"/>
        </w:rPr>
        <w:t xml:space="preserve"> as reported </w:t>
      </w:r>
      <w:r w:rsidR="008F44CC">
        <w:rPr>
          <w:rFonts w:ascii="Garamond" w:eastAsia="Calibri" w:hAnsi="Garamond" w:cs="Sanskrit Text"/>
          <w:sz w:val="24"/>
          <w:szCs w:val="24"/>
        </w:rPr>
        <w:t>in</w:t>
      </w:r>
      <w:r w:rsidR="0061215C" w:rsidRPr="001A23D9">
        <w:rPr>
          <w:rFonts w:ascii="Garamond" w:eastAsia="Calibri" w:hAnsi="Garamond" w:cs="Sanskrit Text"/>
          <w:sz w:val="24"/>
          <w:szCs w:val="24"/>
        </w:rPr>
        <w:t xml:space="preserve"> </w:t>
      </w:r>
      <w:r w:rsidR="000E314B">
        <w:rPr>
          <w:rFonts w:ascii="Garamond" w:eastAsia="Calibri" w:hAnsi="Garamond" w:cs="Sanskrit Text"/>
          <w:sz w:val="24"/>
          <w:szCs w:val="24"/>
        </w:rPr>
        <w:t xml:space="preserve">the </w:t>
      </w:r>
      <w:r w:rsidR="008F44CC">
        <w:rPr>
          <w:rFonts w:ascii="Garamond" w:eastAsia="Calibri" w:hAnsi="Garamond" w:cs="Sanskrit Text"/>
          <w:sz w:val="24"/>
          <w:szCs w:val="24"/>
        </w:rPr>
        <w:t xml:space="preserve">FRED database of the </w:t>
      </w:r>
      <w:r w:rsidR="000E314B">
        <w:rPr>
          <w:rFonts w:ascii="Garamond" w:eastAsia="Calibri" w:hAnsi="Garamond" w:cs="Sanskrit Text"/>
          <w:sz w:val="24"/>
          <w:szCs w:val="24"/>
        </w:rPr>
        <w:t>Federal Reserve Bank of St. Louis</w:t>
      </w:r>
      <w:r w:rsidR="00F1438A" w:rsidRPr="001A23D9">
        <w:rPr>
          <w:rFonts w:ascii="Garamond" w:eastAsia="Calibri" w:hAnsi="Garamond" w:cs="Sanskrit Text"/>
          <w:sz w:val="24"/>
          <w:szCs w:val="24"/>
        </w:rPr>
        <w:t>:</w:t>
      </w:r>
    </w:p>
    <w:tbl>
      <w:tblPr>
        <w:tblW w:w="7593" w:type="dxa"/>
        <w:jc w:val="right"/>
        <w:tblLook w:val="04A0" w:firstRow="1" w:lastRow="0" w:firstColumn="1" w:lastColumn="0" w:noHBand="0" w:noVBand="1"/>
      </w:tblPr>
      <w:tblGrid>
        <w:gridCol w:w="2576"/>
        <w:gridCol w:w="384"/>
        <w:gridCol w:w="1077"/>
        <w:gridCol w:w="39"/>
        <w:gridCol w:w="997"/>
        <w:gridCol w:w="1020"/>
        <w:gridCol w:w="1500"/>
      </w:tblGrid>
      <w:tr w:rsidR="00D817B5" w:rsidRPr="00D817B5" w14:paraId="2A726001" w14:textId="77777777" w:rsidTr="00963230">
        <w:trPr>
          <w:trHeight w:val="345"/>
          <w:jc w:val="right"/>
        </w:trPr>
        <w:tc>
          <w:tcPr>
            <w:tcW w:w="7593" w:type="dxa"/>
            <w:gridSpan w:val="7"/>
            <w:shd w:val="clear" w:color="auto" w:fill="auto"/>
            <w:noWrap/>
            <w:vAlign w:val="bottom"/>
            <w:hideMark/>
          </w:tcPr>
          <w:p w14:paraId="1E445F12" w14:textId="77777777" w:rsidR="001A23D9" w:rsidRDefault="001A23D9" w:rsidP="00D817B5">
            <w:pPr>
              <w:spacing w:after="0" w:line="240" w:lineRule="auto"/>
              <w:jc w:val="center"/>
              <w:rPr>
                <w:rFonts w:ascii="Garamond" w:eastAsia="Times New Roman" w:hAnsi="Garamond" w:cs="Calibri"/>
                <w:b/>
                <w:bCs/>
                <w:sz w:val="24"/>
                <w:szCs w:val="24"/>
              </w:rPr>
            </w:pPr>
          </w:p>
          <w:p w14:paraId="185C5D42" w14:textId="5060DE49" w:rsidR="00D817B5" w:rsidRPr="00D817B5" w:rsidRDefault="00D817B5" w:rsidP="00194585">
            <w:pPr>
              <w:spacing w:after="0" w:line="240" w:lineRule="auto"/>
              <w:rPr>
                <w:rFonts w:ascii="Garamond" w:eastAsia="Times New Roman" w:hAnsi="Garamond" w:cs="Calibri"/>
                <w:b/>
                <w:bCs/>
                <w:sz w:val="24"/>
                <w:szCs w:val="24"/>
              </w:rPr>
            </w:pPr>
            <w:r w:rsidRPr="00D817B5">
              <w:rPr>
                <w:rFonts w:ascii="Garamond" w:eastAsia="Times New Roman" w:hAnsi="Garamond" w:cs="Calibri"/>
                <w:b/>
                <w:bCs/>
                <w:sz w:val="24"/>
                <w:szCs w:val="24"/>
              </w:rPr>
              <w:t>Long-Term Bond Yield</w:t>
            </w:r>
            <w:r w:rsidR="009F31B6">
              <w:rPr>
                <w:rFonts w:ascii="Garamond" w:eastAsia="Times New Roman" w:hAnsi="Garamond" w:cs="Calibri"/>
                <w:b/>
                <w:bCs/>
                <w:sz w:val="24"/>
                <w:szCs w:val="24"/>
              </w:rPr>
              <w:t xml:space="preserve"> -</w:t>
            </w:r>
            <w:r w:rsidRPr="00D817B5">
              <w:rPr>
                <w:rFonts w:ascii="Garamond" w:eastAsia="Times New Roman" w:hAnsi="Garamond" w:cs="Calibri"/>
                <w:b/>
                <w:bCs/>
                <w:sz w:val="24"/>
                <w:szCs w:val="24"/>
              </w:rPr>
              <w:t xml:space="preserve"> </w:t>
            </w:r>
            <w:r w:rsidR="002E0371">
              <w:rPr>
                <w:rFonts w:ascii="Garamond" w:eastAsia="Times New Roman" w:hAnsi="Garamond" w:cs="Calibri"/>
                <w:b/>
                <w:bCs/>
                <w:sz w:val="24"/>
                <w:szCs w:val="24"/>
              </w:rPr>
              <w:t>2</w:t>
            </w:r>
            <w:r w:rsidRPr="00D817B5">
              <w:rPr>
                <w:rFonts w:ascii="Garamond" w:eastAsia="Times New Roman" w:hAnsi="Garamond" w:cs="Calibri"/>
                <w:b/>
                <w:bCs/>
                <w:sz w:val="24"/>
                <w:szCs w:val="24"/>
              </w:rPr>
              <w:t>0-Year Treasury</w:t>
            </w:r>
          </w:p>
        </w:tc>
      </w:tr>
      <w:tr w:rsidR="00D817B5" w:rsidRPr="00D817B5" w14:paraId="3FBD709C" w14:textId="77777777" w:rsidTr="00963230">
        <w:trPr>
          <w:trHeight w:val="300"/>
          <w:jc w:val="right"/>
        </w:trPr>
        <w:tc>
          <w:tcPr>
            <w:tcW w:w="7593" w:type="dxa"/>
            <w:gridSpan w:val="7"/>
            <w:shd w:val="clear" w:color="auto" w:fill="auto"/>
            <w:noWrap/>
            <w:vAlign w:val="bottom"/>
            <w:hideMark/>
          </w:tcPr>
          <w:p w14:paraId="00D9D498" w14:textId="1605B97C" w:rsidR="00D817B5" w:rsidRPr="00D817B5" w:rsidRDefault="00194585" w:rsidP="00194585">
            <w:pPr>
              <w:spacing w:after="0" w:line="480" w:lineRule="auto"/>
              <w:rPr>
                <w:rFonts w:ascii="Garamond" w:eastAsia="Times New Roman" w:hAnsi="Garamond" w:cs="Calibri"/>
                <w:sz w:val="24"/>
                <w:szCs w:val="24"/>
              </w:rPr>
            </w:pPr>
            <w:r>
              <w:rPr>
                <w:rFonts w:ascii="Garamond" w:eastAsia="Times New Roman" w:hAnsi="Garamond" w:cs="Calibri"/>
                <w:sz w:val="24"/>
                <w:szCs w:val="24"/>
              </w:rPr>
              <w:t xml:space="preserve">                </w:t>
            </w:r>
            <w:r w:rsidR="00D817B5" w:rsidRPr="00D817B5">
              <w:rPr>
                <w:rFonts w:ascii="Garamond" w:eastAsia="Times New Roman" w:hAnsi="Garamond" w:cs="Calibri"/>
                <w:sz w:val="24"/>
                <w:szCs w:val="24"/>
              </w:rPr>
              <w:t>(proxy for risk-free rate)</w:t>
            </w:r>
          </w:p>
        </w:tc>
      </w:tr>
      <w:tr w:rsidR="00D817B5" w:rsidRPr="00D817B5" w14:paraId="19A2A20D" w14:textId="77777777" w:rsidTr="00963230">
        <w:trPr>
          <w:trHeight w:val="300"/>
          <w:jc w:val="right"/>
        </w:trPr>
        <w:tc>
          <w:tcPr>
            <w:tcW w:w="2960" w:type="dxa"/>
            <w:gridSpan w:val="2"/>
            <w:shd w:val="clear" w:color="auto" w:fill="auto"/>
            <w:vAlign w:val="bottom"/>
            <w:hideMark/>
          </w:tcPr>
          <w:p w14:paraId="6195DCA6" w14:textId="15690EB7" w:rsidR="00D817B5" w:rsidRPr="00D817B5" w:rsidRDefault="00D817B5" w:rsidP="00D817B5">
            <w:pPr>
              <w:spacing w:after="0" w:line="240" w:lineRule="auto"/>
              <w:jc w:val="center"/>
              <w:rPr>
                <w:rFonts w:ascii="Garamond" w:eastAsia="Times New Roman" w:hAnsi="Garamond" w:cs="Calibri"/>
                <w:b/>
                <w:bCs/>
                <w:sz w:val="24"/>
                <w:szCs w:val="24"/>
                <w:u w:val="single"/>
              </w:rPr>
            </w:pPr>
          </w:p>
        </w:tc>
        <w:tc>
          <w:tcPr>
            <w:tcW w:w="1077" w:type="dxa"/>
            <w:shd w:val="clear" w:color="auto" w:fill="auto"/>
            <w:vAlign w:val="bottom"/>
            <w:hideMark/>
          </w:tcPr>
          <w:p w14:paraId="4D3EB8A7" w14:textId="006AC353" w:rsidR="00D817B5" w:rsidRPr="00D817B5" w:rsidRDefault="00D817B5" w:rsidP="00D817B5">
            <w:pPr>
              <w:spacing w:after="0" w:line="240" w:lineRule="auto"/>
              <w:jc w:val="center"/>
              <w:rPr>
                <w:rFonts w:ascii="Garamond" w:eastAsia="Times New Roman" w:hAnsi="Garamond" w:cs="Calibri"/>
                <w:b/>
                <w:bCs/>
                <w:sz w:val="24"/>
                <w:szCs w:val="24"/>
                <w:u w:val="single"/>
              </w:rPr>
            </w:pPr>
          </w:p>
        </w:tc>
        <w:tc>
          <w:tcPr>
            <w:tcW w:w="1036" w:type="dxa"/>
            <w:gridSpan w:val="2"/>
            <w:shd w:val="clear" w:color="auto" w:fill="auto"/>
            <w:vAlign w:val="bottom"/>
            <w:hideMark/>
          </w:tcPr>
          <w:p w14:paraId="7A3EAB2B" w14:textId="340A0B93" w:rsidR="00D817B5" w:rsidRPr="00D817B5" w:rsidRDefault="00D817B5" w:rsidP="00F602AD">
            <w:pPr>
              <w:spacing w:after="0" w:line="240" w:lineRule="auto"/>
              <w:jc w:val="center"/>
              <w:rPr>
                <w:rFonts w:ascii="Garamond" w:eastAsia="Times New Roman" w:hAnsi="Garamond" w:cs="Calibri"/>
                <w:b/>
                <w:bCs/>
                <w:sz w:val="24"/>
                <w:szCs w:val="24"/>
                <w:u w:val="single"/>
              </w:rPr>
            </w:pPr>
          </w:p>
        </w:tc>
        <w:tc>
          <w:tcPr>
            <w:tcW w:w="1020" w:type="dxa"/>
            <w:shd w:val="clear" w:color="auto" w:fill="auto"/>
            <w:vAlign w:val="bottom"/>
            <w:hideMark/>
          </w:tcPr>
          <w:p w14:paraId="51397BEB" w14:textId="77777777" w:rsidR="00D817B5" w:rsidRPr="00D817B5" w:rsidRDefault="00D817B5" w:rsidP="00D817B5">
            <w:pPr>
              <w:spacing w:after="0" w:line="240" w:lineRule="auto"/>
              <w:jc w:val="center"/>
              <w:rPr>
                <w:rFonts w:ascii="Garamond" w:eastAsia="Times New Roman" w:hAnsi="Garamond" w:cs="Calibri"/>
                <w:b/>
                <w:bCs/>
                <w:sz w:val="24"/>
                <w:szCs w:val="24"/>
                <w:u w:val="single"/>
              </w:rPr>
            </w:pPr>
          </w:p>
        </w:tc>
        <w:tc>
          <w:tcPr>
            <w:tcW w:w="1500" w:type="dxa"/>
            <w:shd w:val="clear" w:color="auto" w:fill="auto"/>
            <w:vAlign w:val="bottom"/>
            <w:hideMark/>
          </w:tcPr>
          <w:p w14:paraId="2553C468" w14:textId="351BDFEA" w:rsidR="00D817B5" w:rsidRPr="00D817B5" w:rsidRDefault="00D817B5" w:rsidP="00D817B5">
            <w:pPr>
              <w:spacing w:after="0" w:line="240" w:lineRule="auto"/>
              <w:jc w:val="center"/>
              <w:rPr>
                <w:rFonts w:ascii="Garamond" w:eastAsia="Times New Roman" w:hAnsi="Garamond" w:cs="Calibri"/>
                <w:b/>
                <w:bCs/>
                <w:sz w:val="24"/>
                <w:szCs w:val="24"/>
                <w:u w:val="single"/>
              </w:rPr>
            </w:pPr>
          </w:p>
        </w:tc>
      </w:tr>
      <w:tr w:rsidR="00D817B5" w:rsidRPr="00D817B5" w14:paraId="6E932F45" w14:textId="77777777" w:rsidTr="00963230">
        <w:trPr>
          <w:trHeight w:val="558"/>
          <w:jc w:val="right"/>
        </w:trPr>
        <w:tc>
          <w:tcPr>
            <w:tcW w:w="2960" w:type="dxa"/>
            <w:gridSpan w:val="2"/>
            <w:shd w:val="clear" w:color="auto" w:fill="auto"/>
            <w:noWrap/>
            <w:vAlign w:val="bottom"/>
            <w:hideMark/>
          </w:tcPr>
          <w:p w14:paraId="0F2F7F27" w14:textId="77777777" w:rsidR="00D817B5" w:rsidRPr="00D817B5" w:rsidRDefault="00D817B5" w:rsidP="00D817B5">
            <w:pPr>
              <w:spacing w:after="0" w:line="240" w:lineRule="auto"/>
              <w:jc w:val="center"/>
              <w:rPr>
                <w:rFonts w:ascii="Garamond" w:eastAsia="Times New Roman" w:hAnsi="Garamond" w:cs="Calibri"/>
                <w:b/>
                <w:bCs/>
                <w:sz w:val="24"/>
                <w:szCs w:val="24"/>
                <w:u w:val="single"/>
              </w:rPr>
            </w:pPr>
            <w:r w:rsidRPr="00D817B5">
              <w:rPr>
                <w:rFonts w:ascii="Garamond" w:eastAsia="Times New Roman" w:hAnsi="Garamond" w:cs="Calibri"/>
                <w:b/>
                <w:bCs/>
                <w:sz w:val="24"/>
                <w:szCs w:val="24"/>
                <w:u w:val="single"/>
              </w:rPr>
              <w:t>Month</w:t>
            </w:r>
          </w:p>
        </w:tc>
        <w:tc>
          <w:tcPr>
            <w:tcW w:w="1077" w:type="dxa"/>
            <w:shd w:val="clear" w:color="auto" w:fill="auto"/>
            <w:noWrap/>
            <w:vAlign w:val="bottom"/>
            <w:hideMark/>
          </w:tcPr>
          <w:p w14:paraId="2C2DB803" w14:textId="115552DF" w:rsidR="00D817B5" w:rsidRPr="00D817B5" w:rsidRDefault="00F602AD" w:rsidP="00D817B5">
            <w:pPr>
              <w:spacing w:after="0" w:line="240" w:lineRule="auto"/>
              <w:jc w:val="center"/>
              <w:rPr>
                <w:rFonts w:ascii="Garamond" w:eastAsia="Times New Roman" w:hAnsi="Garamond" w:cs="Calibri"/>
                <w:b/>
                <w:bCs/>
                <w:sz w:val="24"/>
                <w:szCs w:val="24"/>
                <w:u w:val="single"/>
              </w:rPr>
            </w:pPr>
            <w:r>
              <w:rPr>
                <w:rFonts w:ascii="Garamond" w:eastAsia="Times New Roman" w:hAnsi="Garamond" w:cs="Calibri"/>
                <w:b/>
                <w:bCs/>
                <w:sz w:val="24"/>
                <w:szCs w:val="24"/>
                <w:u w:val="single"/>
              </w:rPr>
              <w:t xml:space="preserve">Monthly </w:t>
            </w:r>
            <w:r w:rsidR="00194585">
              <w:rPr>
                <w:rFonts w:ascii="Garamond" w:eastAsia="Times New Roman" w:hAnsi="Garamond" w:cs="Calibri"/>
                <w:b/>
                <w:bCs/>
                <w:sz w:val="24"/>
                <w:szCs w:val="24"/>
                <w:u w:val="single"/>
              </w:rPr>
              <w:t xml:space="preserve">  </w:t>
            </w:r>
            <w:r w:rsidR="00D817B5" w:rsidRPr="00D817B5">
              <w:rPr>
                <w:rFonts w:ascii="Garamond" w:eastAsia="Times New Roman" w:hAnsi="Garamond" w:cs="Calibri"/>
                <w:b/>
                <w:bCs/>
                <w:sz w:val="24"/>
                <w:szCs w:val="24"/>
                <w:u w:val="single"/>
              </w:rPr>
              <w:t>Average Rate</w:t>
            </w:r>
          </w:p>
        </w:tc>
        <w:tc>
          <w:tcPr>
            <w:tcW w:w="1036" w:type="dxa"/>
            <w:gridSpan w:val="2"/>
            <w:shd w:val="clear" w:color="auto" w:fill="auto"/>
            <w:noWrap/>
            <w:vAlign w:val="bottom"/>
          </w:tcPr>
          <w:p w14:paraId="70F91172" w14:textId="74A990B4" w:rsidR="00D817B5" w:rsidRPr="00D817B5" w:rsidRDefault="00D817B5" w:rsidP="00D817B5">
            <w:pPr>
              <w:spacing w:after="0" w:line="240" w:lineRule="auto"/>
              <w:jc w:val="center"/>
              <w:rPr>
                <w:rFonts w:ascii="Garamond" w:eastAsia="Times New Roman" w:hAnsi="Garamond" w:cs="Calibri"/>
                <w:b/>
                <w:bCs/>
                <w:sz w:val="24"/>
                <w:szCs w:val="24"/>
                <w:u w:val="single"/>
              </w:rPr>
            </w:pPr>
          </w:p>
        </w:tc>
        <w:tc>
          <w:tcPr>
            <w:tcW w:w="1020" w:type="dxa"/>
            <w:shd w:val="clear" w:color="auto" w:fill="auto"/>
            <w:noWrap/>
            <w:vAlign w:val="bottom"/>
          </w:tcPr>
          <w:p w14:paraId="1E1F31C3" w14:textId="766773B6" w:rsidR="00D817B5" w:rsidRPr="00D817B5" w:rsidRDefault="00D817B5" w:rsidP="00D817B5">
            <w:pPr>
              <w:spacing w:after="0" w:line="240" w:lineRule="auto"/>
              <w:jc w:val="center"/>
              <w:rPr>
                <w:rFonts w:ascii="Garamond" w:eastAsia="Times New Roman" w:hAnsi="Garamond" w:cs="Calibri"/>
                <w:b/>
                <w:bCs/>
                <w:sz w:val="24"/>
                <w:szCs w:val="24"/>
                <w:u w:val="single"/>
              </w:rPr>
            </w:pPr>
          </w:p>
        </w:tc>
        <w:tc>
          <w:tcPr>
            <w:tcW w:w="1500" w:type="dxa"/>
            <w:shd w:val="clear" w:color="auto" w:fill="auto"/>
            <w:noWrap/>
            <w:vAlign w:val="bottom"/>
          </w:tcPr>
          <w:p w14:paraId="2DC4B652" w14:textId="44972B5D" w:rsidR="00D817B5" w:rsidRPr="00D817B5" w:rsidRDefault="00D817B5" w:rsidP="00D817B5">
            <w:pPr>
              <w:spacing w:after="0" w:line="240" w:lineRule="auto"/>
              <w:jc w:val="center"/>
              <w:rPr>
                <w:rFonts w:ascii="Garamond" w:eastAsia="Times New Roman" w:hAnsi="Garamond" w:cs="Calibri"/>
                <w:b/>
                <w:bCs/>
                <w:sz w:val="24"/>
                <w:szCs w:val="24"/>
              </w:rPr>
            </w:pPr>
          </w:p>
        </w:tc>
      </w:tr>
      <w:tr w:rsidR="00D817B5" w:rsidRPr="00D817B5" w14:paraId="3DA07DA0" w14:textId="77777777" w:rsidTr="00963230">
        <w:trPr>
          <w:trHeight w:val="300"/>
          <w:jc w:val="right"/>
        </w:trPr>
        <w:tc>
          <w:tcPr>
            <w:tcW w:w="2960" w:type="dxa"/>
            <w:gridSpan w:val="2"/>
            <w:shd w:val="clear" w:color="auto" w:fill="auto"/>
            <w:noWrap/>
            <w:vAlign w:val="bottom"/>
            <w:hideMark/>
          </w:tcPr>
          <w:p w14:paraId="0DEA263E" w14:textId="77777777" w:rsidR="00D817B5" w:rsidRPr="00D817B5" w:rsidRDefault="00D817B5" w:rsidP="00D817B5">
            <w:pPr>
              <w:spacing w:after="0" w:line="240" w:lineRule="auto"/>
              <w:jc w:val="center"/>
              <w:rPr>
                <w:rFonts w:ascii="Garamond" w:eastAsia="Times New Roman" w:hAnsi="Garamond" w:cs="Calibri"/>
                <w:sz w:val="24"/>
                <w:szCs w:val="24"/>
              </w:rPr>
            </w:pPr>
            <w:r w:rsidRPr="00D817B5">
              <w:rPr>
                <w:rFonts w:ascii="Garamond" w:eastAsia="Times New Roman" w:hAnsi="Garamond" w:cs="Calibri"/>
                <w:sz w:val="24"/>
                <w:szCs w:val="24"/>
              </w:rPr>
              <w:t>October</w:t>
            </w:r>
          </w:p>
        </w:tc>
        <w:tc>
          <w:tcPr>
            <w:tcW w:w="1077" w:type="dxa"/>
            <w:shd w:val="clear" w:color="auto" w:fill="auto"/>
            <w:noWrap/>
            <w:vAlign w:val="center"/>
            <w:hideMark/>
          </w:tcPr>
          <w:p w14:paraId="6AC9CA33" w14:textId="62433D4B" w:rsidR="00D817B5" w:rsidRPr="00D817B5" w:rsidRDefault="002E0371" w:rsidP="00D817B5">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5.13</w:t>
            </w:r>
            <w:r w:rsidR="00D817B5" w:rsidRPr="00D817B5">
              <w:rPr>
                <w:rFonts w:ascii="Garamond" w:eastAsia="Times New Roman" w:hAnsi="Garamond" w:cs="Calibri"/>
                <w:color w:val="000000"/>
                <w:sz w:val="24"/>
                <w:szCs w:val="24"/>
              </w:rPr>
              <w:t>%</w:t>
            </w:r>
          </w:p>
        </w:tc>
        <w:tc>
          <w:tcPr>
            <w:tcW w:w="1036" w:type="dxa"/>
            <w:gridSpan w:val="2"/>
            <w:shd w:val="clear" w:color="auto" w:fill="auto"/>
            <w:noWrap/>
            <w:vAlign w:val="center"/>
          </w:tcPr>
          <w:p w14:paraId="5A5EF0C6" w14:textId="77777777" w:rsidR="00D817B5" w:rsidRPr="00D817B5" w:rsidRDefault="00D817B5" w:rsidP="00D817B5">
            <w:pPr>
              <w:spacing w:after="0" w:line="240" w:lineRule="auto"/>
              <w:jc w:val="center"/>
              <w:rPr>
                <w:rFonts w:ascii="Garamond" w:eastAsia="Times New Roman" w:hAnsi="Garamond" w:cs="Calibri"/>
                <w:color w:val="000000"/>
                <w:sz w:val="24"/>
                <w:szCs w:val="24"/>
              </w:rPr>
            </w:pPr>
          </w:p>
        </w:tc>
        <w:tc>
          <w:tcPr>
            <w:tcW w:w="1020" w:type="dxa"/>
            <w:shd w:val="clear" w:color="auto" w:fill="auto"/>
            <w:noWrap/>
            <w:vAlign w:val="bottom"/>
          </w:tcPr>
          <w:p w14:paraId="0747CBA7" w14:textId="77777777" w:rsidR="00D817B5" w:rsidRPr="00D817B5" w:rsidRDefault="00D817B5" w:rsidP="00D817B5">
            <w:pPr>
              <w:spacing w:after="0" w:line="240" w:lineRule="auto"/>
              <w:jc w:val="center"/>
              <w:rPr>
                <w:rFonts w:ascii="Garamond" w:eastAsia="Times New Roman" w:hAnsi="Garamond" w:cs="Times New Roman"/>
                <w:sz w:val="24"/>
                <w:szCs w:val="24"/>
              </w:rPr>
            </w:pPr>
          </w:p>
        </w:tc>
        <w:tc>
          <w:tcPr>
            <w:tcW w:w="1500" w:type="dxa"/>
            <w:shd w:val="clear" w:color="auto" w:fill="auto"/>
            <w:noWrap/>
            <w:vAlign w:val="bottom"/>
          </w:tcPr>
          <w:p w14:paraId="685C7279" w14:textId="79CF00A7" w:rsidR="00D817B5" w:rsidRPr="00D817B5" w:rsidRDefault="00D817B5" w:rsidP="00D817B5">
            <w:pPr>
              <w:spacing w:after="0" w:line="240" w:lineRule="auto"/>
              <w:jc w:val="center"/>
              <w:rPr>
                <w:rFonts w:ascii="Garamond" w:eastAsia="Times New Roman" w:hAnsi="Garamond" w:cs="Calibri"/>
                <w:sz w:val="24"/>
                <w:szCs w:val="24"/>
              </w:rPr>
            </w:pPr>
          </w:p>
        </w:tc>
      </w:tr>
      <w:tr w:rsidR="00D817B5" w:rsidRPr="00D817B5" w14:paraId="59F56A49" w14:textId="77777777" w:rsidTr="00963230">
        <w:trPr>
          <w:trHeight w:val="300"/>
          <w:jc w:val="right"/>
        </w:trPr>
        <w:tc>
          <w:tcPr>
            <w:tcW w:w="2960" w:type="dxa"/>
            <w:gridSpan w:val="2"/>
            <w:shd w:val="clear" w:color="auto" w:fill="auto"/>
            <w:noWrap/>
            <w:vAlign w:val="bottom"/>
            <w:hideMark/>
          </w:tcPr>
          <w:p w14:paraId="51002BA8" w14:textId="77777777" w:rsidR="00D817B5" w:rsidRPr="00D817B5" w:rsidRDefault="00D817B5" w:rsidP="00D817B5">
            <w:pPr>
              <w:spacing w:after="0" w:line="240" w:lineRule="auto"/>
              <w:jc w:val="center"/>
              <w:rPr>
                <w:rFonts w:ascii="Garamond" w:eastAsia="Times New Roman" w:hAnsi="Garamond" w:cs="Calibri"/>
                <w:sz w:val="24"/>
                <w:szCs w:val="24"/>
              </w:rPr>
            </w:pPr>
            <w:r w:rsidRPr="00D817B5">
              <w:rPr>
                <w:rFonts w:ascii="Garamond" w:eastAsia="Times New Roman" w:hAnsi="Garamond" w:cs="Calibri"/>
                <w:sz w:val="24"/>
                <w:szCs w:val="24"/>
              </w:rPr>
              <w:t>November</w:t>
            </w:r>
          </w:p>
        </w:tc>
        <w:tc>
          <w:tcPr>
            <w:tcW w:w="1077" w:type="dxa"/>
            <w:shd w:val="clear" w:color="auto" w:fill="auto"/>
            <w:noWrap/>
            <w:vAlign w:val="center"/>
            <w:hideMark/>
          </w:tcPr>
          <w:p w14:paraId="0E979F48" w14:textId="26D51A2F" w:rsidR="00D817B5" w:rsidRPr="00D817B5" w:rsidRDefault="002E0371" w:rsidP="00D817B5">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4.84</w:t>
            </w:r>
            <w:r w:rsidR="00D817B5" w:rsidRPr="00D817B5">
              <w:rPr>
                <w:rFonts w:ascii="Garamond" w:eastAsia="Times New Roman" w:hAnsi="Garamond" w:cs="Calibri"/>
                <w:color w:val="000000"/>
                <w:sz w:val="24"/>
                <w:szCs w:val="24"/>
              </w:rPr>
              <w:t>%</w:t>
            </w:r>
          </w:p>
        </w:tc>
        <w:tc>
          <w:tcPr>
            <w:tcW w:w="1036" w:type="dxa"/>
            <w:gridSpan w:val="2"/>
            <w:shd w:val="clear" w:color="auto" w:fill="auto"/>
            <w:noWrap/>
            <w:vAlign w:val="center"/>
          </w:tcPr>
          <w:p w14:paraId="69C63910" w14:textId="28212E3F" w:rsidR="00D817B5" w:rsidRPr="00D817B5" w:rsidRDefault="00D817B5" w:rsidP="00D817B5">
            <w:pPr>
              <w:spacing w:after="0" w:line="240" w:lineRule="auto"/>
              <w:jc w:val="center"/>
              <w:rPr>
                <w:rFonts w:ascii="Garamond" w:eastAsia="Times New Roman" w:hAnsi="Garamond" w:cs="Calibri"/>
                <w:sz w:val="24"/>
                <w:szCs w:val="24"/>
              </w:rPr>
            </w:pPr>
          </w:p>
        </w:tc>
        <w:tc>
          <w:tcPr>
            <w:tcW w:w="1020" w:type="dxa"/>
            <w:shd w:val="clear" w:color="auto" w:fill="auto"/>
            <w:noWrap/>
            <w:vAlign w:val="bottom"/>
          </w:tcPr>
          <w:p w14:paraId="74880595" w14:textId="13F3648E" w:rsidR="00D817B5" w:rsidRPr="00D817B5" w:rsidRDefault="00D817B5" w:rsidP="00D817B5">
            <w:pPr>
              <w:spacing w:after="0" w:line="240" w:lineRule="auto"/>
              <w:jc w:val="center"/>
              <w:rPr>
                <w:rFonts w:ascii="Garamond" w:eastAsia="Times New Roman" w:hAnsi="Garamond" w:cs="Calibri"/>
                <w:sz w:val="24"/>
                <w:szCs w:val="24"/>
              </w:rPr>
            </w:pPr>
          </w:p>
        </w:tc>
        <w:tc>
          <w:tcPr>
            <w:tcW w:w="1500" w:type="dxa"/>
            <w:shd w:val="clear" w:color="auto" w:fill="auto"/>
            <w:noWrap/>
            <w:vAlign w:val="bottom"/>
          </w:tcPr>
          <w:p w14:paraId="214B1F1D" w14:textId="15590A78" w:rsidR="00D817B5" w:rsidRPr="00D817B5" w:rsidRDefault="00D817B5" w:rsidP="00D817B5">
            <w:pPr>
              <w:spacing w:after="0" w:line="240" w:lineRule="auto"/>
              <w:jc w:val="center"/>
              <w:rPr>
                <w:rFonts w:ascii="Garamond" w:eastAsia="Times New Roman" w:hAnsi="Garamond" w:cs="Calibri"/>
                <w:sz w:val="24"/>
                <w:szCs w:val="24"/>
              </w:rPr>
            </w:pPr>
          </w:p>
        </w:tc>
      </w:tr>
      <w:tr w:rsidR="00D817B5" w:rsidRPr="00D817B5" w14:paraId="370A67C3" w14:textId="77777777" w:rsidTr="00963230">
        <w:trPr>
          <w:trHeight w:val="300"/>
          <w:jc w:val="right"/>
        </w:trPr>
        <w:tc>
          <w:tcPr>
            <w:tcW w:w="2960" w:type="dxa"/>
            <w:gridSpan w:val="2"/>
            <w:shd w:val="clear" w:color="auto" w:fill="auto"/>
            <w:noWrap/>
            <w:vAlign w:val="bottom"/>
            <w:hideMark/>
          </w:tcPr>
          <w:p w14:paraId="36FB48B0" w14:textId="77777777" w:rsidR="00D817B5" w:rsidRPr="00D817B5" w:rsidRDefault="00D817B5" w:rsidP="00D817B5">
            <w:pPr>
              <w:spacing w:after="0" w:line="240" w:lineRule="auto"/>
              <w:jc w:val="center"/>
              <w:rPr>
                <w:rFonts w:ascii="Garamond" w:eastAsia="Times New Roman" w:hAnsi="Garamond" w:cs="Calibri"/>
                <w:sz w:val="24"/>
                <w:szCs w:val="24"/>
              </w:rPr>
            </w:pPr>
            <w:r w:rsidRPr="00D817B5">
              <w:rPr>
                <w:rFonts w:ascii="Garamond" w:eastAsia="Times New Roman" w:hAnsi="Garamond" w:cs="Calibri"/>
                <w:sz w:val="24"/>
                <w:szCs w:val="24"/>
              </w:rPr>
              <w:t>December</w:t>
            </w:r>
          </w:p>
        </w:tc>
        <w:tc>
          <w:tcPr>
            <w:tcW w:w="1077" w:type="dxa"/>
            <w:shd w:val="clear" w:color="auto" w:fill="auto"/>
            <w:noWrap/>
            <w:vAlign w:val="center"/>
            <w:hideMark/>
          </w:tcPr>
          <w:p w14:paraId="61205D6E" w14:textId="29C1F25B" w:rsidR="00D817B5" w:rsidRPr="00D817B5" w:rsidRDefault="002E0371" w:rsidP="00D817B5">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4.32</w:t>
            </w:r>
            <w:r w:rsidR="00D817B5" w:rsidRPr="00D817B5">
              <w:rPr>
                <w:rFonts w:ascii="Garamond" w:eastAsia="Times New Roman" w:hAnsi="Garamond" w:cs="Calibri"/>
                <w:color w:val="000000"/>
                <w:sz w:val="24"/>
                <w:szCs w:val="24"/>
              </w:rPr>
              <w:t>%</w:t>
            </w:r>
          </w:p>
        </w:tc>
        <w:tc>
          <w:tcPr>
            <w:tcW w:w="1036" w:type="dxa"/>
            <w:gridSpan w:val="2"/>
            <w:shd w:val="clear" w:color="auto" w:fill="auto"/>
            <w:noWrap/>
            <w:vAlign w:val="center"/>
            <w:hideMark/>
          </w:tcPr>
          <w:p w14:paraId="31AD2878" w14:textId="77777777" w:rsidR="00D817B5" w:rsidRPr="00D817B5" w:rsidRDefault="00D817B5" w:rsidP="00D817B5">
            <w:pPr>
              <w:spacing w:after="0" w:line="240" w:lineRule="auto"/>
              <w:jc w:val="center"/>
              <w:rPr>
                <w:rFonts w:ascii="Garamond" w:eastAsia="Times New Roman" w:hAnsi="Garamond" w:cs="Calibri"/>
                <w:sz w:val="24"/>
                <w:szCs w:val="24"/>
              </w:rPr>
            </w:pPr>
            <w:r w:rsidRPr="00D817B5">
              <w:rPr>
                <w:rFonts w:ascii="Garamond" w:eastAsia="Times New Roman" w:hAnsi="Garamond" w:cs="Calibri"/>
                <w:sz w:val="24"/>
                <w:szCs w:val="24"/>
              </w:rPr>
              <w:t> </w:t>
            </w:r>
          </w:p>
        </w:tc>
        <w:tc>
          <w:tcPr>
            <w:tcW w:w="1020" w:type="dxa"/>
            <w:shd w:val="clear" w:color="auto" w:fill="auto"/>
            <w:noWrap/>
            <w:vAlign w:val="bottom"/>
            <w:hideMark/>
          </w:tcPr>
          <w:p w14:paraId="5AF63F76" w14:textId="77777777" w:rsidR="00D817B5" w:rsidRPr="00D817B5" w:rsidRDefault="00D817B5" w:rsidP="00D817B5">
            <w:pPr>
              <w:spacing w:after="0" w:line="240" w:lineRule="auto"/>
              <w:jc w:val="center"/>
              <w:rPr>
                <w:rFonts w:ascii="Garamond" w:eastAsia="Times New Roman" w:hAnsi="Garamond" w:cs="Calibri"/>
                <w:sz w:val="24"/>
                <w:szCs w:val="24"/>
              </w:rPr>
            </w:pPr>
            <w:r w:rsidRPr="00D817B5">
              <w:rPr>
                <w:rFonts w:ascii="Garamond" w:eastAsia="Times New Roman" w:hAnsi="Garamond" w:cs="Calibri"/>
                <w:sz w:val="24"/>
                <w:szCs w:val="24"/>
              </w:rPr>
              <w:t> </w:t>
            </w:r>
          </w:p>
        </w:tc>
        <w:tc>
          <w:tcPr>
            <w:tcW w:w="1500" w:type="dxa"/>
            <w:shd w:val="clear" w:color="auto" w:fill="auto"/>
            <w:noWrap/>
            <w:vAlign w:val="bottom"/>
            <w:hideMark/>
          </w:tcPr>
          <w:p w14:paraId="33ED70BA" w14:textId="77777777" w:rsidR="00D817B5" w:rsidRPr="00D817B5" w:rsidRDefault="00D817B5" w:rsidP="00D817B5">
            <w:pPr>
              <w:spacing w:after="0" w:line="240" w:lineRule="auto"/>
              <w:jc w:val="center"/>
              <w:rPr>
                <w:rFonts w:ascii="Garamond" w:eastAsia="Times New Roman" w:hAnsi="Garamond" w:cs="Calibri"/>
                <w:sz w:val="24"/>
                <w:szCs w:val="24"/>
              </w:rPr>
            </w:pPr>
            <w:r w:rsidRPr="00D817B5">
              <w:rPr>
                <w:rFonts w:ascii="Garamond" w:eastAsia="Times New Roman" w:hAnsi="Garamond" w:cs="Calibri"/>
                <w:sz w:val="24"/>
                <w:szCs w:val="24"/>
              </w:rPr>
              <w:t> </w:t>
            </w:r>
          </w:p>
        </w:tc>
      </w:tr>
      <w:tr w:rsidR="00194585" w:rsidRPr="00D817B5" w14:paraId="62DC13DC" w14:textId="77777777" w:rsidTr="00963230">
        <w:trPr>
          <w:gridAfter w:val="3"/>
          <w:wAfter w:w="3517" w:type="dxa"/>
          <w:trHeight w:val="300"/>
          <w:jc w:val="right"/>
        </w:trPr>
        <w:tc>
          <w:tcPr>
            <w:tcW w:w="2576" w:type="dxa"/>
            <w:shd w:val="clear" w:color="auto" w:fill="auto"/>
            <w:noWrap/>
            <w:vAlign w:val="bottom"/>
            <w:hideMark/>
          </w:tcPr>
          <w:p w14:paraId="311A6E75" w14:textId="77777777" w:rsidR="00194585" w:rsidRDefault="00194585" w:rsidP="00D817B5">
            <w:pPr>
              <w:spacing w:after="0" w:line="240" w:lineRule="auto"/>
              <w:rPr>
                <w:rFonts w:ascii="Garamond" w:eastAsia="Times New Roman" w:hAnsi="Garamond" w:cs="Calibri"/>
                <w:sz w:val="24"/>
                <w:szCs w:val="24"/>
              </w:rPr>
            </w:pPr>
          </w:p>
          <w:p w14:paraId="051E40B2" w14:textId="43C32976" w:rsidR="00194585" w:rsidRPr="00D817B5" w:rsidRDefault="00194585" w:rsidP="00D817B5">
            <w:pPr>
              <w:spacing w:after="0" w:line="240" w:lineRule="auto"/>
              <w:rPr>
                <w:rFonts w:ascii="Garamond" w:eastAsia="Times New Roman" w:hAnsi="Garamond" w:cs="Calibri"/>
                <w:sz w:val="24"/>
                <w:szCs w:val="24"/>
              </w:rPr>
            </w:pPr>
            <w:r w:rsidRPr="00D817B5">
              <w:rPr>
                <w:rFonts w:ascii="Garamond" w:eastAsia="Times New Roman" w:hAnsi="Garamond" w:cs="Calibri"/>
                <w:sz w:val="24"/>
                <w:szCs w:val="24"/>
              </w:rPr>
              <w:t>4th Quarter Average</w:t>
            </w:r>
          </w:p>
        </w:tc>
        <w:tc>
          <w:tcPr>
            <w:tcW w:w="1500" w:type="dxa"/>
            <w:gridSpan w:val="3"/>
            <w:shd w:val="clear" w:color="auto" w:fill="auto"/>
            <w:noWrap/>
            <w:vAlign w:val="bottom"/>
            <w:hideMark/>
          </w:tcPr>
          <w:p w14:paraId="6C9D1FDB" w14:textId="4B1B019F" w:rsidR="00194585" w:rsidRPr="00D817B5" w:rsidRDefault="00194585" w:rsidP="00194585">
            <w:pPr>
              <w:spacing w:after="0" w:line="240" w:lineRule="auto"/>
              <w:rPr>
                <w:rFonts w:ascii="Garamond" w:eastAsia="Times New Roman" w:hAnsi="Garamond" w:cs="Calibri"/>
                <w:b/>
                <w:bCs/>
                <w:sz w:val="24"/>
                <w:szCs w:val="24"/>
              </w:rPr>
            </w:pPr>
            <w:r>
              <w:rPr>
                <w:rFonts w:ascii="Garamond" w:eastAsia="Times New Roman" w:hAnsi="Garamond" w:cs="Calibri"/>
                <w:b/>
                <w:bCs/>
                <w:sz w:val="24"/>
                <w:szCs w:val="24"/>
              </w:rPr>
              <w:t xml:space="preserve">         </w:t>
            </w:r>
            <w:r w:rsidR="002E0371">
              <w:rPr>
                <w:rFonts w:ascii="Garamond" w:eastAsia="Times New Roman" w:hAnsi="Garamond" w:cs="Calibri"/>
                <w:b/>
                <w:bCs/>
                <w:sz w:val="24"/>
                <w:szCs w:val="24"/>
              </w:rPr>
              <w:t>4.76</w:t>
            </w:r>
            <w:r w:rsidRPr="00D817B5">
              <w:rPr>
                <w:rFonts w:ascii="Garamond" w:eastAsia="Times New Roman" w:hAnsi="Garamond" w:cs="Calibri"/>
                <w:b/>
                <w:bCs/>
                <w:sz w:val="24"/>
                <w:szCs w:val="24"/>
              </w:rPr>
              <w:t>%</w:t>
            </w:r>
          </w:p>
        </w:tc>
      </w:tr>
    </w:tbl>
    <w:p w14:paraId="737F9179" w14:textId="77777777" w:rsidR="008124B6" w:rsidRPr="001A23D9" w:rsidRDefault="008124B6" w:rsidP="00D10E8F">
      <w:pPr>
        <w:spacing w:after="160" w:line="259" w:lineRule="auto"/>
        <w:rPr>
          <w:rFonts w:ascii="Garamond" w:eastAsia="Calibri" w:hAnsi="Garamond" w:cs="Sanskrit Text"/>
          <w:sz w:val="24"/>
          <w:szCs w:val="24"/>
        </w:rPr>
      </w:pPr>
    </w:p>
    <w:p w14:paraId="62410BCE" w14:textId="775FFC95" w:rsidR="004E42CC" w:rsidRPr="001A23D9" w:rsidRDefault="00543D1D" w:rsidP="00D10E8F">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lastRenderedPageBreak/>
        <w:t xml:space="preserve">The following graph shows the history of the </w:t>
      </w:r>
      <w:r w:rsidR="00694C1D">
        <w:rPr>
          <w:rFonts w:ascii="Garamond" w:eastAsia="Calibri" w:hAnsi="Garamond" w:cs="Sanskrit Text"/>
          <w:sz w:val="24"/>
          <w:szCs w:val="24"/>
        </w:rPr>
        <w:t>2</w:t>
      </w:r>
      <w:r w:rsidRPr="001A23D9">
        <w:rPr>
          <w:rFonts w:ascii="Garamond" w:eastAsia="Calibri" w:hAnsi="Garamond" w:cs="Sanskrit Text"/>
          <w:sz w:val="24"/>
          <w:szCs w:val="24"/>
        </w:rPr>
        <w:t>0</w:t>
      </w:r>
      <w:r w:rsidR="00F30722" w:rsidRPr="001A23D9">
        <w:rPr>
          <w:rFonts w:ascii="Garamond" w:eastAsia="Calibri" w:hAnsi="Garamond" w:cs="Sanskrit Text"/>
          <w:sz w:val="24"/>
          <w:szCs w:val="24"/>
        </w:rPr>
        <w:t>-</w:t>
      </w:r>
      <w:r w:rsidRPr="001A23D9">
        <w:rPr>
          <w:rFonts w:ascii="Garamond" w:eastAsia="Calibri" w:hAnsi="Garamond" w:cs="Sanskrit Text"/>
          <w:sz w:val="24"/>
          <w:szCs w:val="24"/>
        </w:rPr>
        <w:t xml:space="preserve">year </w:t>
      </w:r>
      <w:r w:rsidR="00FC269A">
        <w:rPr>
          <w:rFonts w:ascii="Garamond" w:eastAsia="Calibri" w:hAnsi="Garamond" w:cs="Sanskrit Text"/>
          <w:sz w:val="24"/>
          <w:szCs w:val="24"/>
        </w:rPr>
        <w:t>T</w:t>
      </w:r>
      <w:r w:rsidRPr="001A23D9">
        <w:rPr>
          <w:rFonts w:ascii="Garamond" w:eastAsia="Calibri" w:hAnsi="Garamond" w:cs="Sanskrit Text"/>
          <w:sz w:val="24"/>
          <w:szCs w:val="24"/>
        </w:rPr>
        <w:t>reasury bond</w:t>
      </w:r>
      <w:r w:rsidR="00313D81" w:rsidRPr="001A23D9">
        <w:rPr>
          <w:rFonts w:ascii="Garamond" w:eastAsia="Calibri" w:hAnsi="Garamond" w:cs="Sanskrit Text"/>
          <w:sz w:val="24"/>
          <w:szCs w:val="24"/>
        </w:rPr>
        <w:t xml:space="preserve"> over the last </w:t>
      </w:r>
      <w:r w:rsidR="002E0371">
        <w:rPr>
          <w:rFonts w:ascii="Garamond" w:eastAsia="Calibri" w:hAnsi="Garamond" w:cs="Sanskrit Text"/>
          <w:sz w:val="24"/>
          <w:szCs w:val="24"/>
        </w:rPr>
        <w:t>20</w:t>
      </w:r>
      <w:r w:rsidR="00313D81" w:rsidRPr="001A23D9">
        <w:rPr>
          <w:rFonts w:ascii="Garamond" w:eastAsia="Calibri" w:hAnsi="Garamond" w:cs="Sanskrit Text"/>
          <w:sz w:val="24"/>
          <w:szCs w:val="24"/>
        </w:rPr>
        <w:t xml:space="preserve"> years</w:t>
      </w:r>
      <w:r w:rsidR="0061215C" w:rsidRPr="001A23D9">
        <w:rPr>
          <w:rFonts w:ascii="Garamond" w:eastAsia="Calibri" w:hAnsi="Garamond" w:cs="Sanskrit Text"/>
          <w:sz w:val="24"/>
          <w:szCs w:val="24"/>
        </w:rPr>
        <w:t>:</w:t>
      </w:r>
      <w:r w:rsidR="00CD6C6E" w:rsidRPr="001A23D9">
        <w:rPr>
          <w:rStyle w:val="FootnoteReference"/>
          <w:rFonts w:ascii="Garamond" w:eastAsia="Calibri" w:hAnsi="Garamond" w:cs="Sanskrit Text"/>
          <w:sz w:val="24"/>
          <w:szCs w:val="24"/>
        </w:rPr>
        <w:footnoteReference w:id="8"/>
      </w:r>
    </w:p>
    <w:p w14:paraId="2FBB7CC7" w14:textId="33E8FEEA" w:rsidR="00D10E8F" w:rsidRPr="001A23D9" w:rsidRDefault="00694C1D" w:rsidP="004E42CC">
      <w:pPr>
        <w:spacing w:after="160" w:line="259" w:lineRule="auto"/>
        <w:rPr>
          <w:rFonts w:ascii="Garamond" w:eastAsia="Calibri" w:hAnsi="Garamond" w:cs="Sanskrit Text"/>
          <w:b/>
          <w:bCs/>
          <w:i/>
          <w:iCs/>
          <w:sz w:val="24"/>
          <w:szCs w:val="24"/>
        </w:rPr>
      </w:pPr>
      <w:r>
        <w:rPr>
          <w:noProof/>
        </w:rPr>
        <w:drawing>
          <wp:inline distT="0" distB="0" distL="0" distR="0" wp14:anchorId="0C88362C" wp14:editId="3DA974DE">
            <wp:extent cx="5943600" cy="3714750"/>
            <wp:effectExtent l="0" t="0" r="0" b="0"/>
            <wp:docPr id="1306859797" name="Picture 1" descr="Graphical user interface, chart, application, li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59797" name="Picture 1" descr="Graphical user interface, chart, application, line chart"/>
                    <pic:cNvPicPr/>
                  </pic:nvPicPr>
                  <pic:blipFill>
                    <a:blip r:embed="rId11"/>
                    <a:stretch>
                      <a:fillRect/>
                    </a:stretch>
                  </pic:blipFill>
                  <pic:spPr>
                    <a:xfrm>
                      <a:off x="0" y="0"/>
                      <a:ext cx="5943600" cy="3714750"/>
                    </a:xfrm>
                    <a:prstGeom prst="rect">
                      <a:avLst/>
                    </a:prstGeom>
                  </pic:spPr>
                </pic:pic>
              </a:graphicData>
            </a:graphic>
          </wp:inline>
        </w:drawing>
      </w:r>
    </w:p>
    <w:p w14:paraId="15E695B2" w14:textId="77777777" w:rsidR="00D817B5" w:rsidRPr="001A23D9" w:rsidRDefault="00D817B5" w:rsidP="003D1435">
      <w:pPr>
        <w:spacing w:after="0" w:line="259" w:lineRule="auto"/>
        <w:rPr>
          <w:rFonts w:ascii="Garamond" w:eastAsia="Calibri" w:hAnsi="Garamond" w:cs="Sanskrit Text"/>
          <w:b/>
          <w:bCs/>
          <w:i/>
          <w:iCs/>
          <w:sz w:val="24"/>
          <w:szCs w:val="24"/>
        </w:rPr>
      </w:pPr>
    </w:p>
    <w:p w14:paraId="0397C702" w14:textId="319AACDE" w:rsidR="0056059E" w:rsidRPr="001A23D9" w:rsidRDefault="004E42CC" w:rsidP="003D1435">
      <w:pPr>
        <w:spacing w:after="0" w:line="259" w:lineRule="auto"/>
        <w:rPr>
          <w:rFonts w:ascii="Garamond" w:eastAsia="Calibri" w:hAnsi="Garamond" w:cs="Sanskrit Text"/>
          <w:sz w:val="24"/>
          <w:szCs w:val="24"/>
        </w:rPr>
      </w:pPr>
      <w:r w:rsidRPr="001A23D9">
        <w:rPr>
          <w:rFonts w:ascii="Garamond" w:eastAsia="Calibri" w:hAnsi="Garamond" w:cs="Sanskrit Text"/>
          <w:b/>
          <w:bCs/>
          <w:i/>
          <w:iCs/>
          <w:sz w:val="24"/>
          <w:szCs w:val="24"/>
        </w:rPr>
        <w:t>E</w:t>
      </w:r>
      <w:r w:rsidR="0056059E" w:rsidRPr="001A23D9">
        <w:rPr>
          <w:rFonts w:ascii="Garamond" w:eastAsia="Calibri" w:hAnsi="Garamond" w:cs="Sanskrit Text"/>
          <w:b/>
          <w:bCs/>
          <w:i/>
          <w:iCs/>
          <w:sz w:val="24"/>
          <w:szCs w:val="24"/>
        </w:rPr>
        <w:t>quity Risk Premium</w:t>
      </w:r>
    </w:p>
    <w:p w14:paraId="6F15F07E" w14:textId="452EA0D4" w:rsidR="00382C2B" w:rsidRDefault="0056059E" w:rsidP="007A03B2">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The equity risk premium</w:t>
      </w:r>
      <w:r w:rsidR="008835C4" w:rsidRPr="001A23D9">
        <w:rPr>
          <w:rFonts w:ascii="Garamond" w:eastAsia="Calibri" w:hAnsi="Garamond" w:cs="Sanskrit Text"/>
          <w:sz w:val="24"/>
          <w:szCs w:val="24"/>
        </w:rPr>
        <w:t xml:space="preserve"> (ERP)</w:t>
      </w:r>
      <w:r w:rsidRPr="001A23D9">
        <w:rPr>
          <w:rFonts w:ascii="Garamond" w:eastAsia="Calibri" w:hAnsi="Garamond" w:cs="Sanskrit Text"/>
          <w:sz w:val="24"/>
          <w:szCs w:val="24"/>
        </w:rPr>
        <w:t xml:space="preserve"> is defined as the</w:t>
      </w:r>
      <w:r w:rsidR="00E51314">
        <w:rPr>
          <w:rFonts w:ascii="Garamond" w:eastAsia="Calibri" w:hAnsi="Garamond" w:cs="Sanskrit Text"/>
          <w:sz w:val="24"/>
          <w:szCs w:val="24"/>
        </w:rPr>
        <w:t xml:space="preserve"> additional</w:t>
      </w:r>
      <w:r w:rsidRPr="001A23D9">
        <w:rPr>
          <w:rFonts w:ascii="Garamond" w:eastAsia="Calibri" w:hAnsi="Garamond" w:cs="Sanskrit Text"/>
          <w:sz w:val="24"/>
          <w:szCs w:val="24"/>
        </w:rPr>
        <w:t xml:space="preserve"> premium over and above a risk-free rate that an investor requires to </w:t>
      </w:r>
      <w:r w:rsidR="002C727B" w:rsidRPr="001A23D9">
        <w:rPr>
          <w:rFonts w:ascii="Garamond" w:eastAsia="Calibri" w:hAnsi="Garamond" w:cs="Sanskrit Text"/>
          <w:sz w:val="24"/>
          <w:szCs w:val="24"/>
        </w:rPr>
        <w:t xml:space="preserve">entice him or her to </w:t>
      </w:r>
      <w:r w:rsidRPr="001A23D9">
        <w:rPr>
          <w:rFonts w:ascii="Garamond" w:eastAsia="Calibri" w:hAnsi="Garamond" w:cs="Sanskrit Text"/>
          <w:sz w:val="24"/>
          <w:szCs w:val="24"/>
        </w:rPr>
        <w:t xml:space="preserve">invest in a stock rather than a bond. </w:t>
      </w:r>
    </w:p>
    <w:p w14:paraId="624A6971" w14:textId="0C15827C" w:rsidR="0031388A" w:rsidRPr="005365E9" w:rsidRDefault="00466D58" w:rsidP="007A03B2">
      <w:pPr>
        <w:spacing w:after="160" w:line="259" w:lineRule="auto"/>
        <w:rPr>
          <w:rFonts w:ascii="Garamond" w:eastAsia="Calibri" w:hAnsi="Garamond" w:cs="Sanskrit Text"/>
          <w:sz w:val="24"/>
          <w:szCs w:val="24"/>
        </w:rPr>
      </w:pPr>
      <w:r>
        <w:rPr>
          <w:rFonts w:ascii="Garamond" w:eastAsia="Calibri" w:hAnsi="Garamond" w:cs="Sanskrit Text"/>
          <w:sz w:val="24"/>
          <w:szCs w:val="24"/>
        </w:rPr>
        <w:t>U</w:t>
      </w:r>
      <w:r w:rsidR="0031388A">
        <w:rPr>
          <w:rFonts w:ascii="Garamond" w:eastAsia="Calibri" w:hAnsi="Garamond" w:cs="Sanskrit Text"/>
          <w:sz w:val="24"/>
          <w:szCs w:val="24"/>
        </w:rPr>
        <w:t>nlike the risk-free rate, the ERP cannot be observed or determined directly</w:t>
      </w:r>
      <w:r w:rsidR="005365E9">
        <w:rPr>
          <w:rFonts w:ascii="Garamond" w:eastAsia="Calibri" w:hAnsi="Garamond" w:cs="Sanskrit Text"/>
          <w:sz w:val="24"/>
          <w:szCs w:val="24"/>
        </w:rPr>
        <w:t xml:space="preserve">, </w:t>
      </w:r>
      <w:r w:rsidR="005365E9" w:rsidRPr="005365E9">
        <w:rPr>
          <w:rFonts w:ascii="Garamond" w:eastAsia="Calibri" w:hAnsi="Garamond" w:cs="Sanskrit Text"/>
          <w:sz w:val="24"/>
          <w:szCs w:val="24"/>
        </w:rPr>
        <w:t>a</w:t>
      </w:r>
      <w:r w:rsidR="00AE489E" w:rsidRPr="005365E9">
        <w:rPr>
          <w:rFonts w:ascii="Garamond" w:eastAsia="Calibri" w:hAnsi="Garamond" w:cs="Sanskrit Text"/>
          <w:sz w:val="24"/>
          <w:szCs w:val="24"/>
        </w:rPr>
        <w:t xml:space="preserve">s a result many different </w:t>
      </w:r>
      <w:r w:rsidR="005365E9" w:rsidRPr="005365E9">
        <w:rPr>
          <w:rFonts w:ascii="Garamond" w:eastAsia="Calibri" w:hAnsi="Garamond" w:cs="Sanskrit Text"/>
          <w:sz w:val="24"/>
          <w:szCs w:val="24"/>
        </w:rPr>
        <w:t xml:space="preserve">methodologies are </w:t>
      </w:r>
      <w:r w:rsidR="0037257D">
        <w:rPr>
          <w:rFonts w:ascii="Garamond" w:eastAsia="Calibri" w:hAnsi="Garamond" w:cs="Sanskrit Text"/>
          <w:sz w:val="24"/>
          <w:szCs w:val="24"/>
        </w:rPr>
        <w:t>used</w:t>
      </w:r>
      <w:r w:rsidR="005365E9" w:rsidRPr="005365E9">
        <w:rPr>
          <w:rFonts w:ascii="Garamond" w:eastAsia="Calibri" w:hAnsi="Garamond" w:cs="Sanskrit Text"/>
          <w:sz w:val="24"/>
          <w:szCs w:val="24"/>
        </w:rPr>
        <w:t xml:space="preserve"> to estimate the ERP.</w:t>
      </w:r>
      <w:r w:rsidR="00AE489E" w:rsidRPr="005365E9">
        <w:rPr>
          <w:rFonts w:ascii="Garamond" w:eastAsia="Calibri" w:hAnsi="Garamond" w:cs="Sanskrit Text"/>
          <w:sz w:val="24"/>
          <w:szCs w:val="24"/>
        </w:rPr>
        <w:t xml:space="preserve"> </w:t>
      </w:r>
      <w:r w:rsidR="000328F3">
        <w:rPr>
          <w:rFonts w:ascii="Garamond" w:eastAsia="Calibri" w:hAnsi="Garamond" w:cs="Sanskrit Text"/>
          <w:sz w:val="24"/>
          <w:szCs w:val="24"/>
        </w:rPr>
        <w:t>Despite often being referred to as “one of the great mysteries of finance”, selecting and applying an appropriate ERP in the income approach to valuation is fundamental to the determination of market value.</w:t>
      </w:r>
    </w:p>
    <w:p w14:paraId="63A70D4F" w14:textId="64117153" w:rsidR="00A17A86" w:rsidRDefault="00382C2B" w:rsidP="007A03B2">
      <w:pPr>
        <w:spacing w:after="160" w:line="259" w:lineRule="auto"/>
        <w:rPr>
          <w:rFonts w:ascii="Garamond" w:eastAsia="Calibri" w:hAnsi="Garamond" w:cs="Sanskrit Text"/>
          <w:sz w:val="24"/>
          <w:szCs w:val="24"/>
        </w:rPr>
      </w:pPr>
      <w:r>
        <w:rPr>
          <w:rFonts w:ascii="Garamond" w:eastAsia="Calibri" w:hAnsi="Garamond" w:cs="Sanskrit Text"/>
          <w:sz w:val="24"/>
          <w:szCs w:val="24"/>
        </w:rPr>
        <w:t>The current m</w:t>
      </w:r>
      <w:r w:rsidR="00DD1613">
        <w:rPr>
          <w:rFonts w:ascii="Garamond" w:eastAsia="Calibri" w:hAnsi="Garamond" w:cs="Sanskrit Text"/>
          <w:sz w:val="24"/>
          <w:szCs w:val="24"/>
        </w:rPr>
        <w:t>ethods for estimating the ERP can generally be classified into three categories: historical (backward looking</w:t>
      </w:r>
      <w:r w:rsidR="001303E2">
        <w:rPr>
          <w:rFonts w:ascii="Garamond" w:eastAsia="Calibri" w:hAnsi="Garamond" w:cs="Sanskrit Text"/>
          <w:sz w:val="24"/>
          <w:szCs w:val="24"/>
        </w:rPr>
        <w:t>)</w:t>
      </w:r>
      <w:r w:rsidR="00DD1613">
        <w:rPr>
          <w:rFonts w:ascii="Garamond" w:eastAsia="Calibri" w:hAnsi="Garamond" w:cs="Sanskrit Text"/>
          <w:sz w:val="24"/>
          <w:szCs w:val="24"/>
        </w:rPr>
        <w:t>, implied (f</w:t>
      </w:r>
      <w:r w:rsidR="00E42DF5">
        <w:rPr>
          <w:rFonts w:ascii="Garamond" w:eastAsia="Calibri" w:hAnsi="Garamond" w:cs="Sanskrit Text"/>
          <w:sz w:val="24"/>
          <w:szCs w:val="24"/>
        </w:rPr>
        <w:t>or</w:t>
      </w:r>
      <w:r w:rsidR="00DD1613">
        <w:rPr>
          <w:rFonts w:ascii="Garamond" w:eastAsia="Calibri" w:hAnsi="Garamond" w:cs="Sanskrit Text"/>
          <w:sz w:val="24"/>
          <w:szCs w:val="24"/>
        </w:rPr>
        <w:t xml:space="preserve">ward looking), and surveys (prevailing opinion).  </w:t>
      </w:r>
    </w:p>
    <w:p w14:paraId="774A3918" w14:textId="0C355CB0" w:rsidR="00DD1613" w:rsidRDefault="00DD1613" w:rsidP="007A03B2">
      <w:pPr>
        <w:spacing w:after="160" w:line="259" w:lineRule="auto"/>
        <w:rPr>
          <w:rFonts w:ascii="Garamond" w:eastAsia="Calibri" w:hAnsi="Garamond" w:cs="Sanskrit Text"/>
          <w:sz w:val="24"/>
          <w:szCs w:val="24"/>
        </w:rPr>
      </w:pPr>
      <w:r>
        <w:rPr>
          <w:rFonts w:ascii="Garamond" w:eastAsia="Calibri" w:hAnsi="Garamond" w:cs="Sanskrit Text"/>
          <w:sz w:val="24"/>
          <w:szCs w:val="24"/>
        </w:rPr>
        <w:t>Dr</w:t>
      </w:r>
      <w:r w:rsidR="00E42DF5">
        <w:rPr>
          <w:rFonts w:ascii="Garamond" w:eastAsia="Calibri" w:hAnsi="Garamond" w:cs="Sanskrit Text"/>
          <w:sz w:val="24"/>
          <w:szCs w:val="24"/>
        </w:rPr>
        <w:t>.</w:t>
      </w:r>
      <w:r>
        <w:rPr>
          <w:rFonts w:ascii="Garamond" w:eastAsia="Calibri" w:hAnsi="Garamond" w:cs="Sanskrit Text"/>
          <w:sz w:val="24"/>
          <w:szCs w:val="24"/>
        </w:rPr>
        <w:t xml:space="preserve"> Damodaran provides a cautionary note regarding reliance on </w:t>
      </w:r>
      <w:r w:rsidR="009F71E2">
        <w:rPr>
          <w:rFonts w:ascii="Garamond" w:eastAsia="Calibri" w:hAnsi="Garamond" w:cs="Sanskrit Text"/>
          <w:sz w:val="24"/>
          <w:szCs w:val="24"/>
        </w:rPr>
        <w:t>looking back:</w:t>
      </w:r>
      <w:r w:rsidR="00CB77F3">
        <w:rPr>
          <w:rFonts w:ascii="Garamond" w:eastAsia="Calibri" w:hAnsi="Garamond" w:cs="Sanskrit Text"/>
          <w:sz w:val="24"/>
          <w:szCs w:val="24"/>
        </w:rPr>
        <w:t xml:space="preserve"> </w:t>
      </w:r>
    </w:p>
    <w:p w14:paraId="2CE9BE96" w14:textId="2CA58713" w:rsidR="009F71E2" w:rsidRDefault="009F71E2" w:rsidP="009F71E2">
      <w:pPr>
        <w:spacing w:after="160" w:line="259" w:lineRule="auto"/>
        <w:ind w:left="720"/>
        <w:rPr>
          <w:rFonts w:ascii="Garamond" w:eastAsia="Calibri" w:hAnsi="Garamond" w:cs="Sanskrit Text"/>
          <w:sz w:val="24"/>
          <w:szCs w:val="24"/>
        </w:rPr>
      </w:pPr>
      <w:r>
        <w:rPr>
          <w:rFonts w:ascii="Garamond" w:eastAsia="Calibri" w:hAnsi="Garamond" w:cs="Sanskrit Text"/>
          <w:sz w:val="24"/>
          <w:szCs w:val="24"/>
        </w:rPr>
        <w:t>“</w:t>
      </w:r>
      <w:r w:rsidRPr="009F71E2">
        <w:rPr>
          <w:rFonts w:ascii="Garamond" w:eastAsia="Calibri" w:hAnsi="Garamond" w:cs="Sanskrit Text"/>
          <w:sz w:val="24"/>
          <w:szCs w:val="24"/>
        </w:rPr>
        <w:t xml:space="preserve">The allure of having the historical data that we do in financial markets, especially in the </w:t>
      </w:r>
      <w:r w:rsidR="001303E2">
        <w:rPr>
          <w:rFonts w:ascii="Garamond" w:eastAsia="Calibri" w:hAnsi="Garamond" w:cs="Sanskrit Text"/>
          <w:sz w:val="24"/>
          <w:szCs w:val="24"/>
        </w:rPr>
        <w:t>U</w:t>
      </w:r>
      <w:r w:rsidRPr="009F71E2">
        <w:rPr>
          <w:rFonts w:ascii="Garamond" w:eastAsia="Calibri" w:hAnsi="Garamond" w:cs="Sanskrit Text"/>
          <w:sz w:val="24"/>
          <w:szCs w:val="24"/>
        </w:rPr>
        <w:t xml:space="preserve">nited States, is that there is information in the past. The danger of poring over this historical data is that a focus on the past can blind us to structural changes in markets that can make the future very different from the past. To get a measure of what equity markets </w:t>
      </w:r>
      <w:r w:rsidRPr="009F71E2">
        <w:rPr>
          <w:rFonts w:ascii="Garamond" w:eastAsia="Calibri" w:hAnsi="Garamond" w:cs="Sanskrit Text"/>
          <w:sz w:val="24"/>
          <w:szCs w:val="24"/>
        </w:rPr>
        <w:lastRenderedPageBreak/>
        <w:t>are offering in terms of expected returns, we are better served with a forward-looking and dynamic measure of these returns</w:t>
      </w:r>
      <w:r w:rsidR="009F31B6">
        <w:rPr>
          <w:rFonts w:ascii="Garamond" w:eastAsia="Calibri" w:hAnsi="Garamond" w:cs="Sanskrit Text"/>
          <w:sz w:val="24"/>
          <w:szCs w:val="24"/>
        </w:rPr>
        <w:t>.</w:t>
      </w:r>
      <w:r>
        <w:rPr>
          <w:rFonts w:ascii="Garamond" w:eastAsia="Calibri" w:hAnsi="Garamond" w:cs="Sanskrit Text"/>
          <w:sz w:val="24"/>
          <w:szCs w:val="24"/>
        </w:rPr>
        <w:t>”</w:t>
      </w:r>
      <w:r>
        <w:rPr>
          <w:rStyle w:val="FootnoteReference"/>
          <w:rFonts w:ascii="Garamond" w:eastAsia="Calibri" w:hAnsi="Garamond" w:cs="Sanskrit Text"/>
          <w:sz w:val="24"/>
          <w:szCs w:val="24"/>
        </w:rPr>
        <w:footnoteReference w:id="9"/>
      </w:r>
    </w:p>
    <w:p w14:paraId="274541CD" w14:textId="13B57C30" w:rsidR="007A03B2" w:rsidRPr="001A23D9" w:rsidRDefault="00827174" w:rsidP="007A03B2">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In the chart below,</w:t>
      </w:r>
      <w:r w:rsidR="002C727B" w:rsidRPr="001A23D9">
        <w:rPr>
          <w:rFonts w:ascii="Garamond" w:eastAsia="Calibri" w:hAnsi="Garamond" w:cs="Sanskrit Text"/>
          <w:sz w:val="24"/>
          <w:szCs w:val="24"/>
        </w:rPr>
        <w:t xml:space="preserve"> </w:t>
      </w:r>
      <w:r w:rsidRPr="001A23D9">
        <w:rPr>
          <w:rFonts w:ascii="Garamond" w:eastAsia="Calibri" w:hAnsi="Garamond" w:cs="Sanskrit Text"/>
          <w:sz w:val="24"/>
          <w:szCs w:val="24"/>
        </w:rPr>
        <w:t xml:space="preserve">Dr. Damodaran provides an example of the degree of change in </w:t>
      </w:r>
      <w:r w:rsidR="00074A8D">
        <w:rPr>
          <w:rFonts w:ascii="Garamond" w:eastAsia="Calibri" w:hAnsi="Garamond" w:cs="Sanskrit Text"/>
          <w:sz w:val="24"/>
          <w:szCs w:val="24"/>
        </w:rPr>
        <w:t xml:space="preserve">his estimate of </w:t>
      </w:r>
      <w:r w:rsidRPr="001A23D9">
        <w:rPr>
          <w:rFonts w:ascii="Garamond" w:eastAsia="Calibri" w:hAnsi="Garamond" w:cs="Sanskrit Text"/>
          <w:sz w:val="24"/>
          <w:szCs w:val="24"/>
        </w:rPr>
        <w:t xml:space="preserve">the </w:t>
      </w:r>
      <w:r w:rsidR="00650916">
        <w:rPr>
          <w:rFonts w:ascii="Garamond" w:eastAsia="Calibri" w:hAnsi="Garamond" w:cs="Sanskrit Text"/>
          <w:sz w:val="24"/>
          <w:szCs w:val="24"/>
        </w:rPr>
        <w:t xml:space="preserve">forward-looking </w:t>
      </w:r>
      <w:r w:rsidRPr="001A23D9">
        <w:rPr>
          <w:rFonts w:ascii="Garamond" w:eastAsia="Calibri" w:hAnsi="Garamond" w:cs="Sanskrit Text"/>
          <w:sz w:val="24"/>
          <w:szCs w:val="24"/>
        </w:rPr>
        <w:t xml:space="preserve">implied equity risk premium over the last </w:t>
      </w:r>
      <w:r w:rsidR="00BD7141" w:rsidRPr="001A23D9">
        <w:rPr>
          <w:rFonts w:ascii="Garamond" w:eastAsia="Calibri" w:hAnsi="Garamond" w:cs="Sanskrit Text"/>
          <w:sz w:val="24"/>
          <w:szCs w:val="24"/>
        </w:rPr>
        <w:t xml:space="preserve">60 </w:t>
      </w:r>
      <w:r w:rsidRPr="001A23D9">
        <w:rPr>
          <w:rFonts w:ascii="Garamond" w:eastAsia="Calibri" w:hAnsi="Garamond" w:cs="Sanskrit Text"/>
          <w:sz w:val="24"/>
          <w:szCs w:val="24"/>
        </w:rPr>
        <w:t>years:</w:t>
      </w:r>
      <w:r w:rsidR="007A03B2" w:rsidRPr="001A23D9">
        <w:rPr>
          <w:rStyle w:val="FootnoteReference"/>
          <w:rFonts w:ascii="Garamond" w:eastAsia="Calibri" w:hAnsi="Garamond" w:cs="Sanskrit Text"/>
          <w:sz w:val="24"/>
          <w:szCs w:val="24"/>
        </w:rPr>
        <w:footnoteReference w:id="10"/>
      </w:r>
      <w:r w:rsidR="00B7665E">
        <w:rPr>
          <w:noProof/>
        </w:rPr>
        <w:drawing>
          <wp:inline distT="0" distB="0" distL="0" distR="0" wp14:anchorId="0D864B71" wp14:editId="34EA454A">
            <wp:extent cx="6162040" cy="4076700"/>
            <wp:effectExtent l="0" t="0" r="0" b="0"/>
            <wp:docPr id="425153125" name="Picture 2" descr="Data Update 2 For 2024: A Stock Comeback - Winning The Expectations Game |  Seeking 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Update 2 For 2024: A Stock Comeback - Winning The Expectations Game |  Seeking Alph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65343" cy="4078885"/>
                    </a:xfrm>
                    <a:prstGeom prst="rect">
                      <a:avLst/>
                    </a:prstGeom>
                    <a:noFill/>
                    <a:ln>
                      <a:noFill/>
                    </a:ln>
                  </pic:spPr>
                </pic:pic>
              </a:graphicData>
            </a:graphic>
          </wp:inline>
        </w:drawing>
      </w:r>
    </w:p>
    <w:p w14:paraId="472B02D2" w14:textId="45397AC8" w:rsidR="005E7AAA" w:rsidRDefault="005E7AAA" w:rsidP="007A03B2">
      <w:pPr>
        <w:spacing w:after="160" w:line="259" w:lineRule="auto"/>
        <w:rPr>
          <w:rFonts w:ascii="Garamond" w:eastAsia="Calibri" w:hAnsi="Garamond" w:cs="Sanskrit Text"/>
          <w:sz w:val="24"/>
          <w:szCs w:val="24"/>
        </w:rPr>
      </w:pPr>
      <w:r>
        <w:rPr>
          <w:rFonts w:ascii="Garamond" w:eastAsia="Calibri" w:hAnsi="Garamond" w:cs="Sanskrit Text"/>
          <w:sz w:val="24"/>
          <w:szCs w:val="24"/>
        </w:rPr>
        <w:t xml:space="preserve">In our </w:t>
      </w:r>
      <w:r w:rsidR="00B7665E">
        <w:rPr>
          <w:rFonts w:ascii="Garamond" w:eastAsia="Calibri" w:hAnsi="Garamond" w:cs="Sanskrit Text"/>
          <w:sz w:val="24"/>
          <w:szCs w:val="24"/>
        </w:rPr>
        <w:t xml:space="preserve">2024 </w:t>
      </w:r>
      <w:r>
        <w:rPr>
          <w:rFonts w:ascii="Garamond" w:eastAsia="Calibri" w:hAnsi="Garamond" w:cs="Sanskrit Text"/>
          <w:sz w:val="24"/>
          <w:szCs w:val="24"/>
        </w:rPr>
        <w:t>studies w</w:t>
      </w:r>
      <w:r w:rsidRPr="001A23D9">
        <w:rPr>
          <w:rFonts w:ascii="Garamond" w:eastAsia="Calibri" w:hAnsi="Garamond" w:cs="Sanskrit Text"/>
          <w:sz w:val="24"/>
          <w:szCs w:val="24"/>
        </w:rPr>
        <w:t>e look</w:t>
      </w:r>
      <w:r w:rsidR="00B7665E">
        <w:rPr>
          <w:rFonts w:ascii="Garamond" w:eastAsia="Calibri" w:hAnsi="Garamond" w:cs="Sanskrit Text"/>
          <w:sz w:val="24"/>
          <w:szCs w:val="24"/>
        </w:rPr>
        <w:t>ed</w:t>
      </w:r>
      <w:r w:rsidRPr="001A23D9">
        <w:rPr>
          <w:rFonts w:ascii="Garamond" w:eastAsia="Calibri" w:hAnsi="Garamond" w:cs="Sanskrit Text"/>
          <w:sz w:val="24"/>
          <w:szCs w:val="24"/>
        </w:rPr>
        <w:t xml:space="preserve"> </w:t>
      </w:r>
      <w:r>
        <w:rPr>
          <w:rFonts w:ascii="Garamond" w:eastAsia="Calibri" w:hAnsi="Garamond" w:cs="Sanskrit Text"/>
          <w:sz w:val="24"/>
          <w:szCs w:val="24"/>
        </w:rPr>
        <w:t>at</w:t>
      </w:r>
      <w:r w:rsidRPr="001A23D9">
        <w:rPr>
          <w:rFonts w:ascii="Garamond" w:eastAsia="Calibri" w:hAnsi="Garamond" w:cs="Sanskrit Text"/>
          <w:sz w:val="24"/>
          <w:szCs w:val="24"/>
        </w:rPr>
        <w:t xml:space="preserve"> several publicly available</w:t>
      </w:r>
      <w:r>
        <w:rPr>
          <w:rFonts w:ascii="Garamond" w:eastAsia="Calibri" w:hAnsi="Garamond" w:cs="Sanskrit Text"/>
          <w:sz w:val="24"/>
          <w:szCs w:val="24"/>
        </w:rPr>
        <w:t>,</w:t>
      </w:r>
      <w:r w:rsidRPr="001A23D9">
        <w:rPr>
          <w:rFonts w:ascii="Garamond" w:eastAsia="Calibri" w:hAnsi="Garamond" w:cs="Sanskrit Text"/>
          <w:sz w:val="24"/>
          <w:szCs w:val="24"/>
        </w:rPr>
        <w:t xml:space="preserve"> </w:t>
      </w:r>
      <w:r>
        <w:rPr>
          <w:rFonts w:ascii="Garamond" w:eastAsia="Calibri" w:hAnsi="Garamond" w:cs="Sanskrit Text"/>
          <w:sz w:val="24"/>
          <w:szCs w:val="24"/>
        </w:rPr>
        <w:t>independent estimates</w:t>
      </w:r>
      <w:r w:rsidRPr="001A23D9">
        <w:rPr>
          <w:rFonts w:ascii="Garamond" w:eastAsia="Calibri" w:hAnsi="Garamond" w:cs="Sanskrit Text"/>
          <w:sz w:val="24"/>
          <w:szCs w:val="24"/>
        </w:rPr>
        <w:t xml:space="preserve"> </w:t>
      </w:r>
      <w:r>
        <w:rPr>
          <w:rFonts w:ascii="Garamond" w:eastAsia="Calibri" w:hAnsi="Garamond" w:cs="Sanskrit Text"/>
          <w:sz w:val="24"/>
          <w:szCs w:val="24"/>
        </w:rPr>
        <w:t xml:space="preserve">of the </w:t>
      </w:r>
      <w:r w:rsidRPr="001A23D9">
        <w:rPr>
          <w:rFonts w:ascii="Garamond" w:eastAsia="Calibri" w:hAnsi="Garamond" w:cs="Sanskrit Text"/>
          <w:sz w:val="24"/>
          <w:szCs w:val="24"/>
        </w:rPr>
        <w:t>equity risk premium.</w:t>
      </w:r>
      <w:r w:rsidR="00ED28DE">
        <w:rPr>
          <w:rFonts w:ascii="Garamond" w:eastAsia="Calibri" w:hAnsi="Garamond" w:cs="Sanskrit Text"/>
          <w:sz w:val="24"/>
          <w:szCs w:val="24"/>
        </w:rPr>
        <w:t xml:space="preserve"> The following are a sample of </w:t>
      </w:r>
      <w:r w:rsidR="0067654B">
        <w:rPr>
          <w:rFonts w:ascii="Garamond" w:eastAsia="Calibri" w:hAnsi="Garamond" w:cs="Sanskrit Text"/>
          <w:sz w:val="24"/>
          <w:szCs w:val="24"/>
        </w:rPr>
        <w:t xml:space="preserve">some of </w:t>
      </w:r>
      <w:r w:rsidR="00ED28DE">
        <w:rPr>
          <w:rFonts w:ascii="Garamond" w:eastAsia="Calibri" w:hAnsi="Garamond" w:cs="Sanskrit Text"/>
          <w:sz w:val="24"/>
          <w:szCs w:val="24"/>
        </w:rPr>
        <w:t xml:space="preserve">the </w:t>
      </w:r>
      <w:r w:rsidR="0067654B">
        <w:rPr>
          <w:rFonts w:ascii="Garamond" w:eastAsia="Calibri" w:hAnsi="Garamond" w:cs="Sanskrit Text"/>
          <w:sz w:val="24"/>
          <w:szCs w:val="24"/>
        </w:rPr>
        <w:t xml:space="preserve">most current </w:t>
      </w:r>
      <w:r w:rsidR="00ED28DE">
        <w:rPr>
          <w:rFonts w:ascii="Garamond" w:eastAsia="Calibri" w:hAnsi="Garamond" w:cs="Sanskrit Text"/>
          <w:sz w:val="24"/>
          <w:szCs w:val="24"/>
        </w:rPr>
        <w:t xml:space="preserve">estimates </w:t>
      </w:r>
      <w:r w:rsidR="0067654B">
        <w:rPr>
          <w:rFonts w:ascii="Garamond" w:eastAsia="Calibri" w:hAnsi="Garamond" w:cs="Sanskrit Text"/>
          <w:sz w:val="24"/>
          <w:szCs w:val="24"/>
        </w:rPr>
        <w:t>identified</w:t>
      </w:r>
      <w:r w:rsidR="00ED28DE">
        <w:rPr>
          <w:rFonts w:ascii="Garamond" w:eastAsia="Calibri" w:hAnsi="Garamond" w:cs="Sanskrit Text"/>
          <w:sz w:val="24"/>
          <w:szCs w:val="24"/>
        </w:rPr>
        <w:t xml:space="preserve"> by staff:</w:t>
      </w:r>
    </w:p>
    <w:p w14:paraId="72EC0AC9" w14:textId="687AF546" w:rsidR="006A0354" w:rsidRDefault="006A0354" w:rsidP="007A03B2">
      <w:pPr>
        <w:spacing w:after="160" w:line="259" w:lineRule="auto"/>
        <w:rPr>
          <w:rFonts w:ascii="Garamond" w:eastAsia="Calibri" w:hAnsi="Garamond" w:cs="Sanskrit Text"/>
          <w:sz w:val="24"/>
          <w:szCs w:val="24"/>
        </w:rPr>
      </w:pPr>
      <w:r>
        <w:rPr>
          <w:rFonts w:ascii="Garamond" w:eastAsia="Calibri" w:hAnsi="Garamond" w:cs="Sanskrit Text"/>
          <w:sz w:val="24"/>
          <w:szCs w:val="24"/>
        </w:rPr>
        <w:t>BVR – CSRP Historical ERP 20-Year Treasury Bond (1928-2023)</w:t>
      </w:r>
      <w:r>
        <w:rPr>
          <w:rFonts w:ascii="Garamond" w:eastAsia="Calibri" w:hAnsi="Garamond" w:cs="Sanskrit Text"/>
          <w:sz w:val="24"/>
          <w:szCs w:val="24"/>
        </w:rPr>
        <w:tab/>
      </w:r>
      <w:r>
        <w:rPr>
          <w:rFonts w:ascii="Garamond" w:eastAsia="Calibri" w:hAnsi="Garamond" w:cs="Sanskrit Text"/>
          <w:sz w:val="24"/>
          <w:szCs w:val="24"/>
        </w:rPr>
        <w:tab/>
      </w:r>
      <w:r>
        <w:rPr>
          <w:rFonts w:ascii="Garamond" w:eastAsia="Calibri" w:hAnsi="Garamond" w:cs="Sanskrit Text"/>
          <w:sz w:val="24"/>
          <w:szCs w:val="24"/>
        </w:rPr>
        <w:tab/>
        <w:t>6.45%</w:t>
      </w:r>
    </w:p>
    <w:p w14:paraId="09E8FB8D" w14:textId="47920F2E" w:rsidR="006A0354" w:rsidRDefault="006A0354" w:rsidP="007A03B2">
      <w:pPr>
        <w:spacing w:after="160" w:line="259" w:lineRule="auto"/>
        <w:rPr>
          <w:rFonts w:ascii="Garamond" w:eastAsia="Calibri" w:hAnsi="Garamond" w:cs="Sanskrit Text"/>
          <w:sz w:val="24"/>
          <w:szCs w:val="24"/>
        </w:rPr>
      </w:pPr>
      <w:r>
        <w:rPr>
          <w:rFonts w:ascii="Garamond" w:eastAsia="Calibri" w:hAnsi="Garamond" w:cs="Sanskrit Text"/>
          <w:sz w:val="24"/>
          <w:szCs w:val="24"/>
        </w:rPr>
        <w:t>S</w:t>
      </w:r>
      <w:r w:rsidR="00D74404">
        <w:rPr>
          <w:rFonts w:ascii="Garamond" w:eastAsia="Calibri" w:hAnsi="Garamond" w:cs="Sanskrit Text"/>
          <w:sz w:val="24"/>
          <w:szCs w:val="24"/>
        </w:rPr>
        <w:t>&amp;P Global Market Intelligence (January 2024)</w:t>
      </w:r>
      <w:r w:rsidR="00D74404">
        <w:rPr>
          <w:rFonts w:ascii="Garamond" w:eastAsia="Calibri" w:hAnsi="Garamond" w:cs="Sanskrit Text"/>
          <w:sz w:val="24"/>
          <w:szCs w:val="24"/>
        </w:rPr>
        <w:tab/>
      </w:r>
      <w:r w:rsidR="00D74404">
        <w:rPr>
          <w:rFonts w:ascii="Garamond" w:eastAsia="Calibri" w:hAnsi="Garamond" w:cs="Sanskrit Text"/>
          <w:sz w:val="24"/>
          <w:szCs w:val="24"/>
        </w:rPr>
        <w:tab/>
      </w:r>
      <w:r w:rsidR="00D74404">
        <w:rPr>
          <w:rFonts w:ascii="Garamond" w:eastAsia="Calibri" w:hAnsi="Garamond" w:cs="Sanskrit Text"/>
          <w:sz w:val="24"/>
          <w:szCs w:val="24"/>
        </w:rPr>
        <w:tab/>
      </w:r>
      <w:r w:rsidR="00D74404">
        <w:rPr>
          <w:rFonts w:ascii="Garamond" w:eastAsia="Calibri" w:hAnsi="Garamond" w:cs="Sanskrit Text"/>
          <w:sz w:val="24"/>
          <w:szCs w:val="24"/>
        </w:rPr>
        <w:tab/>
      </w:r>
      <w:r w:rsidR="00D74404">
        <w:rPr>
          <w:rFonts w:ascii="Garamond" w:eastAsia="Calibri" w:hAnsi="Garamond" w:cs="Sanskrit Text"/>
          <w:sz w:val="24"/>
          <w:szCs w:val="24"/>
        </w:rPr>
        <w:tab/>
        <w:t>5.00%</w:t>
      </w:r>
    </w:p>
    <w:p w14:paraId="14D2FBF6" w14:textId="3C57BE34" w:rsidR="00D74404" w:rsidRDefault="00D74404" w:rsidP="007A03B2">
      <w:pPr>
        <w:spacing w:after="160" w:line="259" w:lineRule="auto"/>
        <w:rPr>
          <w:rFonts w:ascii="Garamond" w:eastAsia="Calibri" w:hAnsi="Garamond" w:cs="Sanskrit Text"/>
          <w:sz w:val="24"/>
          <w:szCs w:val="24"/>
        </w:rPr>
      </w:pPr>
      <w:r>
        <w:rPr>
          <w:rFonts w:ascii="Garamond" w:eastAsia="Calibri" w:hAnsi="Garamond" w:cs="Sanskrit Text"/>
          <w:sz w:val="24"/>
          <w:szCs w:val="24"/>
        </w:rPr>
        <w:t>Damodaran Implied ERP Trailing 12 Month Cash Yield (January 2024)</w:t>
      </w:r>
      <w:r>
        <w:rPr>
          <w:rFonts w:ascii="Garamond" w:eastAsia="Calibri" w:hAnsi="Garamond" w:cs="Sanskrit Text"/>
          <w:sz w:val="24"/>
          <w:szCs w:val="24"/>
        </w:rPr>
        <w:tab/>
      </w:r>
      <w:r>
        <w:rPr>
          <w:rFonts w:ascii="Garamond" w:eastAsia="Calibri" w:hAnsi="Garamond" w:cs="Sanskrit Text"/>
          <w:sz w:val="24"/>
          <w:szCs w:val="24"/>
        </w:rPr>
        <w:tab/>
        <w:t>4.60%</w:t>
      </w:r>
    </w:p>
    <w:p w14:paraId="567CD106" w14:textId="047F236D" w:rsidR="00D74404" w:rsidRDefault="00D74404" w:rsidP="007A03B2">
      <w:pPr>
        <w:spacing w:after="160" w:line="259" w:lineRule="auto"/>
        <w:rPr>
          <w:rFonts w:ascii="Garamond" w:eastAsia="Calibri" w:hAnsi="Garamond" w:cs="Sanskrit Text"/>
          <w:sz w:val="24"/>
          <w:szCs w:val="24"/>
        </w:rPr>
      </w:pPr>
      <w:r>
        <w:rPr>
          <w:rFonts w:ascii="Garamond" w:eastAsia="Calibri" w:hAnsi="Garamond" w:cs="Sanskrit Text"/>
          <w:sz w:val="24"/>
          <w:szCs w:val="24"/>
        </w:rPr>
        <w:t>Damodaran Implied ERP – Normalized Earnings &amp; Payout (January 2024)</w:t>
      </w:r>
      <w:r>
        <w:rPr>
          <w:rFonts w:ascii="Garamond" w:eastAsia="Calibri" w:hAnsi="Garamond" w:cs="Sanskrit Text"/>
          <w:sz w:val="24"/>
          <w:szCs w:val="24"/>
        </w:rPr>
        <w:tab/>
      </w:r>
      <w:r w:rsidR="00FC269A">
        <w:rPr>
          <w:rFonts w:ascii="Garamond" w:eastAsia="Calibri" w:hAnsi="Garamond" w:cs="Sanskrit Text"/>
          <w:sz w:val="24"/>
          <w:szCs w:val="24"/>
        </w:rPr>
        <w:tab/>
      </w:r>
      <w:r>
        <w:rPr>
          <w:rFonts w:ascii="Garamond" w:eastAsia="Calibri" w:hAnsi="Garamond" w:cs="Sanskrit Text"/>
          <w:sz w:val="24"/>
          <w:szCs w:val="24"/>
        </w:rPr>
        <w:t>4.29%</w:t>
      </w:r>
    </w:p>
    <w:p w14:paraId="464E7A27" w14:textId="619902F6" w:rsidR="00FC269A" w:rsidRDefault="00FC269A" w:rsidP="007A03B2">
      <w:pPr>
        <w:spacing w:after="160" w:line="259" w:lineRule="auto"/>
        <w:rPr>
          <w:rFonts w:ascii="Garamond" w:eastAsia="Calibri" w:hAnsi="Garamond" w:cs="Sanskrit Text"/>
          <w:sz w:val="24"/>
          <w:szCs w:val="24"/>
        </w:rPr>
      </w:pPr>
      <w:r>
        <w:rPr>
          <w:rFonts w:ascii="Garamond" w:eastAsia="Calibri" w:hAnsi="Garamond" w:cs="Sanskrit Text"/>
          <w:sz w:val="24"/>
          <w:szCs w:val="24"/>
        </w:rPr>
        <w:t>Damodaran Implied ERP Trailing 12 Month with Adjusted Payout (January 2024)</w:t>
      </w:r>
      <w:r>
        <w:rPr>
          <w:rFonts w:ascii="Garamond" w:eastAsia="Calibri" w:hAnsi="Garamond" w:cs="Sanskrit Text"/>
          <w:sz w:val="24"/>
          <w:szCs w:val="24"/>
        </w:rPr>
        <w:tab/>
        <w:t>4.57%</w:t>
      </w:r>
    </w:p>
    <w:p w14:paraId="0C5CB3AB" w14:textId="61138E7F" w:rsidR="00D74404" w:rsidRDefault="00D74404" w:rsidP="007A03B2">
      <w:pPr>
        <w:spacing w:after="160" w:line="259" w:lineRule="auto"/>
        <w:rPr>
          <w:rFonts w:ascii="Garamond" w:eastAsia="Calibri" w:hAnsi="Garamond" w:cs="Sanskrit Text"/>
          <w:sz w:val="24"/>
          <w:szCs w:val="24"/>
        </w:rPr>
      </w:pPr>
      <w:r>
        <w:rPr>
          <w:rFonts w:ascii="Garamond" w:eastAsia="Calibri" w:hAnsi="Garamond" w:cs="Sanskrit Text"/>
          <w:sz w:val="24"/>
          <w:szCs w:val="24"/>
        </w:rPr>
        <w:t>BVR Dr. Damodaran Implied ERP (2023)</w:t>
      </w:r>
      <w:r>
        <w:rPr>
          <w:rFonts w:ascii="Garamond" w:eastAsia="Calibri" w:hAnsi="Garamond" w:cs="Sanskrit Text"/>
          <w:sz w:val="24"/>
          <w:szCs w:val="24"/>
        </w:rPr>
        <w:tab/>
      </w:r>
      <w:r>
        <w:rPr>
          <w:rFonts w:ascii="Garamond" w:eastAsia="Calibri" w:hAnsi="Garamond" w:cs="Sanskrit Text"/>
          <w:sz w:val="24"/>
          <w:szCs w:val="24"/>
        </w:rPr>
        <w:tab/>
      </w:r>
      <w:r>
        <w:rPr>
          <w:rFonts w:ascii="Garamond" w:eastAsia="Calibri" w:hAnsi="Garamond" w:cs="Sanskrit Text"/>
          <w:sz w:val="24"/>
          <w:szCs w:val="24"/>
        </w:rPr>
        <w:tab/>
      </w:r>
      <w:r>
        <w:rPr>
          <w:rFonts w:ascii="Garamond" w:eastAsia="Calibri" w:hAnsi="Garamond" w:cs="Sanskrit Text"/>
          <w:sz w:val="24"/>
          <w:szCs w:val="24"/>
        </w:rPr>
        <w:tab/>
      </w:r>
      <w:r>
        <w:rPr>
          <w:rFonts w:ascii="Garamond" w:eastAsia="Calibri" w:hAnsi="Garamond" w:cs="Sanskrit Text"/>
          <w:sz w:val="24"/>
          <w:szCs w:val="24"/>
        </w:rPr>
        <w:tab/>
      </w:r>
      <w:r>
        <w:rPr>
          <w:rFonts w:ascii="Garamond" w:eastAsia="Calibri" w:hAnsi="Garamond" w:cs="Sanskrit Text"/>
          <w:sz w:val="24"/>
          <w:szCs w:val="24"/>
        </w:rPr>
        <w:tab/>
        <w:t>6.37%</w:t>
      </w:r>
    </w:p>
    <w:p w14:paraId="02A3CD9C" w14:textId="77777777" w:rsidR="00FC269A" w:rsidRDefault="00D74404" w:rsidP="007A03B2">
      <w:pPr>
        <w:spacing w:after="160" w:line="259" w:lineRule="auto"/>
        <w:rPr>
          <w:rFonts w:ascii="Garamond" w:eastAsia="Calibri" w:hAnsi="Garamond" w:cs="Sanskrit Text"/>
          <w:sz w:val="24"/>
          <w:szCs w:val="24"/>
        </w:rPr>
      </w:pPr>
      <w:r>
        <w:rPr>
          <w:rFonts w:ascii="Garamond" w:eastAsia="Calibri" w:hAnsi="Garamond" w:cs="Sanskrit Text"/>
          <w:sz w:val="24"/>
          <w:szCs w:val="24"/>
        </w:rPr>
        <w:t>Damodaran Implied ERP Net Cash Yield (2024)</w:t>
      </w:r>
      <w:r>
        <w:rPr>
          <w:rFonts w:ascii="Garamond" w:eastAsia="Calibri" w:hAnsi="Garamond" w:cs="Sanskrit Text"/>
          <w:sz w:val="24"/>
          <w:szCs w:val="24"/>
        </w:rPr>
        <w:tab/>
      </w:r>
      <w:r>
        <w:rPr>
          <w:rFonts w:ascii="Garamond" w:eastAsia="Calibri" w:hAnsi="Garamond" w:cs="Sanskrit Text"/>
          <w:sz w:val="24"/>
          <w:szCs w:val="24"/>
        </w:rPr>
        <w:tab/>
      </w:r>
      <w:r>
        <w:rPr>
          <w:rFonts w:ascii="Garamond" w:eastAsia="Calibri" w:hAnsi="Garamond" w:cs="Sanskrit Text"/>
          <w:sz w:val="24"/>
          <w:szCs w:val="24"/>
        </w:rPr>
        <w:tab/>
      </w:r>
      <w:r>
        <w:rPr>
          <w:rFonts w:ascii="Garamond" w:eastAsia="Calibri" w:hAnsi="Garamond" w:cs="Sanskrit Text"/>
          <w:sz w:val="24"/>
          <w:szCs w:val="24"/>
        </w:rPr>
        <w:tab/>
      </w:r>
      <w:r>
        <w:rPr>
          <w:rFonts w:ascii="Garamond" w:eastAsia="Calibri" w:hAnsi="Garamond" w:cs="Sanskrit Text"/>
          <w:sz w:val="24"/>
          <w:szCs w:val="24"/>
        </w:rPr>
        <w:tab/>
        <w:t>4.43%</w:t>
      </w:r>
      <w:r>
        <w:rPr>
          <w:rFonts w:ascii="Garamond" w:eastAsia="Calibri" w:hAnsi="Garamond" w:cs="Sanskrit Text"/>
          <w:sz w:val="24"/>
          <w:szCs w:val="24"/>
        </w:rPr>
        <w:tab/>
      </w:r>
    </w:p>
    <w:p w14:paraId="2A745D24" w14:textId="693A8D61" w:rsidR="00D74404" w:rsidRDefault="00ED28DE" w:rsidP="007A03B2">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lastRenderedPageBreak/>
        <w:t xml:space="preserve">After </w:t>
      </w:r>
      <w:r>
        <w:rPr>
          <w:rFonts w:ascii="Garamond" w:eastAsia="Calibri" w:hAnsi="Garamond" w:cs="Sanskrit Text"/>
          <w:sz w:val="24"/>
          <w:szCs w:val="24"/>
        </w:rPr>
        <w:t>considering</w:t>
      </w:r>
      <w:r w:rsidR="0067654B">
        <w:rPr>
          <w:rFonts w:ascii="Garamond" w:eastAsia="Calibri" w:hAnsi="Garamond" w:cs="Sanskrit Text"/>
          <w:sz w:val="24"/>
          <w:szCs w:val="24"/>
        </w:rPr>
        <w:t xml:space="preserve"> all</w:t>
      </w:r>
      <w:r>
        <w:rPr>
          <w:rFonts w:ascii="Garamond" w:eastAsia="Calibri" w:hAnsi="Garamond" w:cs="Sanskrit Text"/>
          <w:sz w:val="24"/>
          <w:szCs w:val="24"/>
        </w:rPr>
        <w:t xml:space="preserve"> available</w:t>
      </w:r>
      <w:r w:rsidRPr="001A23D9">
        <w:rPr>
          <w:rFonts w:ascii="Garamond" w:eastAsia="Calibri" w:hAnsi="Garamond" w:cs="Sanskrit Text"/>
          <w:sz w:val="24"/>
          <w:szCs w:val="24"/>
        </w:rPr>
        <w:t xml:space="preserve"> ERP estimates, we selected </w:t>
      </w:r>
      <w:r w:rsidRPr="001A23D9">
        <w:rPr>
          <w:rFonts w:ascii="Garamond" w:eastAsia="Calibri" w:hAnsi="Garamond" w:cs="Sanskrit Text"/>
          <w:b/>
          <w:bCs/>
          <w:sz w:val="24"/>
          <w:szCs w:val="24"/>
        </w:rPr>
        <w:t>6.</w:t>
      </w:r>
      <w:r>
        <w:rPr>
          <w:rFonts w:ascii="Garamond" w:eastAsia="Calibri" w:hAnsi="Garamond" w:cs="Sanskrit Text"/>
          <w:b/>
          <w:bCs/>
          <w:sz w:val="24"/>
          <w:szCs w:val="24"/>
        </w:rPr>
        <w:t>20</w:t>
      </w:r>
      <w:r w:rsidRPr="001A23D9">
        <w:rPr>
          <w:rFonts w:ascii="Garamond" w:eastAsia="Calibri" w:hAnsi="Garamond" w:cs="Sanskrit Text"/>
          <w:b/>
          <w:bCs/>
          <w:sz w:val="24"/>
          <w:szCs w:val="24"/>
        </w:rPr>
        <w:t>%</w:t>
      </w:r>
      <w:r w:rsidRPr="001A23D9">
        <w:rPr>
          <w:rFonts w:ascii="Garamond" w:eastAsia="Calibri" w:hAnsi="Garamond" w:cs="Sanskrit Text"/>
          <w:sz w:val="24"/>
          <w:szCs w:val="24"/>
        </w:rPr>
        <w:t xml:space="preserve">, as our </w:t>
      </w:r>
      <w:r>
        <w:rPr>
          <w:rFonts w:ascii="Garamond" w:eastAsia="Calibri" w:hAnsi="Garamond" w:cs="Sanskrit Text"/>
          <w:sz w:val="24"/>
          <w:szCs w:val="24"/>
        </w:rPr>
        <w:t>base</w:t>
      </w:r>
      <w:r w:rsidRPr="001A23D9">
        <w:rPr>
          <w:rFonts w:ascii="Garamond" w:eastAsia="Calibri" w:hAnsi="Garamond" w:cs="Sanskrit Text"/>
          <w:sz w:val="24"/>
          <w:szCs w:val="24"/>
        </w:rPr>
        <w:t xml:space="preserve"> ERP estimate for use in the CAPM model this year.</w:t>
      </w:r>
      <w:r w:rsidR="00D74404">
        <w:rPr>
          <w:rFonts w:ascii="Garamond" w:eastAsia="Calibri" w:hAnsi="Garamond" w:cs="Sanskrit Text"/>
          <w:sz w:val="24"/>
          <w:szCs w:val="24"/>
        </w:rPr>
        <w:tab/>
      </w:r>
      <w:r w:rsidR="00D74404">
        <w:rPr>
          <w:rFonts w:ascii="Garamond" w:eastAsia="Calibri" w:hAnsi="Garamond" w:cs="Sanskrit Text"/>
          <w:sz w:val="24"/>
          <w:szCs w:val="24"/>
        </w:rPr>
        <w:tab/>
      </w:r>
      <w:r w:rsidR="00D74404">
        <w:rPr>
          <w:rFonts w:ascii="Garamond" w:eastAsia="Calibri" w:hAnsi="Garamond" w:cs="Sanskrit Text"/>
          <w:sz w:val="24"/>
          <w:szCs w:val="24"/>
        </w:rPr>
        <w:tab/>
      </w:r>
    </w:p>
    <w:p w14:paraId="33E43295" w14:textId="6D64831C" w:rsidR="0056059E" w:rsidRPr="001A23D9" w:rsidRDefault="0056059E" w:rsidP="003D1435">
      <w:pPr>
        <w:spacing w:after="0" w:line="259" w:lineRule="auto"/>
        <w:rPr>
          <w:rFonts w:ascii="Garamond" w:eastAsia="Calibri" w:hAnsi="Garamond" w:cs="Sanskrit Text"/>
          <w:b/>
          <w:bCs/>
          <w:i/>
          <w:iCs/>
          <w:sz w:val="24"/>
          <w:szCs w:val="24"/>
        </w:rPr>
      </w:pPr>
      <w:r w:rsidRPr="001A23D9">
        <w:rPr>
          <w:rFonts w:ascii="Garamond" w:eastAsia="Calibri" w:hAnsi="Garamond" w:cs="Sanskrit Text"/>
          <w:b/>
          <w:bCs/>
          <w:i/>
          <w:iCs/>
          <w:sz w:val="24"/>
          <w:szCs w:val="24"/>
        </w:rPr>
        <w:t>Beta</w:t>
      </w:r>
      <w:r w:rsidR="008C36CA" w:rsidRPr="001A23D9">
        <w:rPr>
          <w:rFonts w:ascii="Garamond" w:eastAsia="Calibri" w:hAnsi="Garamond" w:cs="Sanskrit Text"/>
          <w:b/>
          <w:bCs/>
          <w:i/>
          <w:iCs/>
          <w:sz w:val="24"/>
          <w:szCs w:val="24"/>
        </w:rPr>
        <w:t xml:space="preserve"> </w:t>
      </w:r>
    </w:p>
    <w:p w14:paraId="681F7757" w14:textId="75C06A81" w:rsidR="00AC21F3" w:rsidRPr="001A23D9" w:rsidRDefault="0056059E" w:rsidP="00AC21F3">
      <w:pPr>
        <w:autoSpaceDE w:val="0"/>
        <w:autoSpaceDN w:val="0"/>
        <w:adjustRightInd w:val="0"/>
        <w:spacing w:after="160" w:line="259" w:lineRule="auto"/>
        <w:rPr>
          <w:rFonts w:ascii="Garamond" w:eastAsia="Calibri" w:hAnsi="Garamond" w:cs="Sanskrit Text"/>
          <w:color w:val="111111"/>
          <w:sz w:val="24"/>
          <w:szCs w:val="24"/>
        </w:rPr>
      </w:pPr>
      <w:r w:rsidRPr="001A23D9">
        <w:rPr>
          <w:rFonts w:ascii="Garamond" w:eastAsia="Calibri" w:hAnsi="Garamond" w:cs="Sanskrit Text"/>
          <w:bCs/>
          <w:color w:val="222222"/>
          <w:sz w:val="24"/>
          <w:szCs w:val="24"/>
          <w:lang w:val="en"/>
        </w:rPr>
        <w:t>Beta</w:t>
      </w:r>
      <w:r w:rsidR="00DE6C42" w:rsidRPr="001A23D9">
        <w:rPr>
          <w:rFonts w:ascii="Garamond" w:eastAsia="Calibri" w:hAnsi="Garamond" w:cs="Sanskrit Text"/>
          <w:bCs/>
          <w:color w:val="222222"/>
          <w:sz w:val="24"/>
          <w:szCs w:val="24"/>
          <w:lang w:val="en"/>
        </w:rPr>
        <w:t xml:space="preserve"> (</w:t>
      </w:r>
      <w:r w:rsidR="00557A64" w:rsidRPr="00557A64">
        <w:rPr>
          <w:rFonts w:ascii="Garamond" w:eastAsia="Calibri" w:hAnsi="Garamond" w:cs="Sanskrit Text"/>
          <w:bCs/>
          <w:color w:val="222222"/>
          <w:sz w:val="24"/>
          <w:szCs w:val="24"/>
        </w:rPr>
        <w:t>β</w:t>
      </w:r>
      <w:r w:rsidR="00DE6C42" w:rsidRPr="001A23D9">
        <w:rPr>
          <w:rFonts w:ascii="Garamond" w:eastAsia="Calibri" w:hAnsi="Garamond" w:cs="Sanskrit Text"/>
          <w:bCs/>
          <w:color w:val="222222"/>
          <w:sz w:val="24"/>
          <w:szCs w:val="24"/>
          <w:lang w:val="en"/>
        </w:rPr>
        <w:t>)</w:t>
      </w:r>
      <w:r w:rsidRPr="001A23D9">
        <w:rPr>
          <w:rFonts w:ascii="Garamond" w:eastAsia="Calibri" w:hAnsi="Garamond" w:cs="Sanskrit Text"/>
          <w:color w:val="222222"/>
          <w:sz w:val="24"/>
          <w:szCs w:val="24"/>
          <w:lang w:val="en"/>
        </w:rPr>
        <w:t xml:space="preserve"> is a measure of volatility, or systematic risk.</w:t>
      </w:r>
      <w:r w:rsidR="009161D7" w:rsidRPr="001A23D9">
        <w:rPr>
          <w:rFonts w:ascii="Garamond" w:eastAsia="Calibri" w:hAnsi="Garamond" w:cs="Sanskrit Text"/>
          <w:color w:val="222222"/>
          <w:sz w:val="24"/>
          <w:szCs w:val="24"/>
          <w:lang w:val="en"/>
        </w:rPr>
        <w:t xml:space="preserve"> </w:t>
      </w:r>
      <w:r w:rsidRPr="001A23D9">
        <w:rPr>
          <w:rFonts w:ascii="Garamond" w:eastAsia="Calibri" w:hAnsi="Garamond" w:cs="Sanskrit Text"/>
          <w:color w:val="222222"/>
          <w:sz w:val="24"/>
          <w:szCs w:val="24"/>
          <w:lang w:val="en"/>
        </w:rPr>
        <w:t xml:space="preserve"> </w:t>
      </w:r>
      <w:r w:rsidR="00CD06C7" w:rsidRPr="001A23D9">
        <w:rPr>
          <w:rFonts w:ascii="Garamond" w:eastAsia="Calibri" w:hAnsi="Garamond" w:cs="Sanskrit Text"/>
          <w:bCs/>
          <w:color w:val="222222"/>
          <w:sz w:val="24"/>
          <w:szCs w:val="24"/>
          <w:lang w:val="en"/>
        </w:rPr>
        <w:t>This component</w:t>
      </w:r>
      <w:r w:rsidRPr="001A23D9">
        <w:rPr>
          <w:rFonts w:ascii="Garamond" w:eastAsia="Calibri" w:hAnsi="Garamond" w:cs="Sanskrit Text"/>
          <w:color w:val="222222"/>
          <w:sz w:val="24"/>
          <w:szCs w:val="24"/>
          <w:lang w:val="en"/>
        </w:rPr>
        <w:t xml:space="preserve"> </w:t>
      </w:r>
      <w:r w:rsidRPr="001A23D9">
        <w:rPr>
          <w:rFonts w:ascii="Garamond" w:eastAsia="Calibri" w:hAnsi="Garamond" w:cs="Sanskrit Text"/>
          <w:color w:val="111111"/>
          <w:sz w:val="24"/>
          <w:szCs w:val="24"/>
        </w:rPr>
        <w:t xml:space="preserve">reflects how risky an asset is compared to overall market risk </w:t>
      </w:r>
      <w:r w:rsidR="00066F83" w:rsidRPr="001A23D9">
        <w:rPr>
          <w:rFonts w:ascii="Garamond" w:eastAsia="Calibri" w:hAnsi="Garamond" w:cs="Sanskrit Text"/>
          <w:color w:val="111111"/>
          <w:sz w:val="24"/>
          <w:szCs w:val="24"/>
        </w:rPr>
        <w:t xml:space="preserve">– it </w:t>
      </w:r>
      <w:r w:rsidRPr="001A23D9">
        <w:rPr>
          <w:rFonts w:ascii="Garamond" w:eastAsia="Calibri" w:hAnsi="Garamond" w:cs="Sanskrit Text"/>
          <w:color w:val="111111"/>
          <w:sz w:val="24"/>
          <w:szCs w:val="24"/>
        </w:rPr>
        <w:t xml:space="preserve">is a function of the volatility of </w:t>
      </w:r>
      <w:r w:rsidR="00AE489E">
        <w:rPr>
          <w:rFonts w:ascii="Garamond" w:eastAsia="Calibri" w:hAnsi="Garamond" w:cs="Sanskrit Text"/>
          <w:color w:val="111111"/>
          <w:sz w:val="24"/>
          <w:szCs w:val="24"/>
        </w:rPr>
        <w:t>an asset</w:t>
      </w:r>
      <w:r w:rsidRPr="001A23D9">
        <w:rPr>
          <w:rFonts w:ascii="Garamond" w:eastAsia="Calibri" w:hAnsi="Garamond" w:cs="Sanskrit Text"/>
          <w:color w:val="111111"/>
          <w:sz w:val="24"/>
          <w:szCs w:val="24"/>
        </w:rPr>
        <w:t xml:space="preserve"> and the market</w:t>
      </w:r>
      <w:r w:rsidR="00C34C6A" w:rsidRPr="001A23D9">
        <w:rPr>
          <w:rFonts w:ascii="Garamond" w:eastAsia="Calibri" w:hAnsi="Garamond" w:cs="Sanskrit Text"/>
          <w:color w:val="111111"/>
          <w:sz w:val="24"/>
          <w:szCs w:val="24"/>
        </w:rPr>
        <w:t xml:space="preserve">. </w:t>
      </w:r>
      <w:r w:rsidRPr="001A23D9">
        <w:rPr>
          <w:rFonts w:ascii="Garamond" w:eastAsia="Calibri" w:hAnsi="Garamond" w:cs="Sanskrit Text"/>
          <w:color w:val="111111"/>
          <w:sz w:val="24"/>
          <w:szCs w:val="24"/>
        </w:rPr>
        <w:t xml:space="preserve"> </w:t>
      </w:r>
      <w:r w:rsidR="00C34C6A" w:rsidRPr="001A23D9">
        <w:rPr>
          <w:rFonts w:ascii="Garamond" w:eastAsia="Calibri" w:hAnsi="Garamond" w:cs="Sanskrit Text"/>
          <w:color w:val="111111"/>
          <w:sz w:val="24"/>
          <w:szCs w:val="24"/>
        </w:rPr>
        <w:t>By definition</w:t>
      </w:r>
      <w:r w:rsidR="00ED0980" w:rsidRPr="001A23D9">
        <w:rPr>
          <w:rFonts w:ascii="Garamond" w:eastAsia="Calibri" w:hAnsi="Garamond" w:cs="Sanskrit Text"/>
          <w:color w:val="111111"/>
          <w:sz w:val="24"/>
          <w:szCs w:val="24"/>
        </w:rPr>
        <w:t xml:space="preserve">, </w:t>
      </w:r>
      <w:r w:rsidR="00C34C6A" w:rsidRPr="001A23D9">
        <w:rPr>
          <w:rFonts w:ascii="Garamond" w:eastAsia="Calibri" w:hAnsi="Garamond" w:cs="Sanskrit Text"/>
          <w:color w:val="111111"/>
          <w:sz w:val="24"/>
          <w:szCs w:val="24"/>
        </w:rPr>
        <w:t>an average</w:t>
      </w:r>
      <w:r w:rsidR="00066F83" w:rsidRPr="001A23D9">
        <w:rPr>
          <w:rFonts w:ascii="Garamond" w:eastAsia="Calibri" w:hAnsi="Garamond" w:cs="Sanskrit Text"/>
          <w:color w:val="111111"/>
          <w:sz w:val="24"/>
          <w:szCs w:val="24"/>
        </w:rPr>
        <w:t xml:space="preserve"> risk</w:t>
      </w:r>
      <w:r w:rsidR="00C34C6A" w:rsidRPr="001A23D9">
        <w:rPr>
          <w:rFonts w:ascii="Garamond" w:eastAsia="Calibri" w:hAnsi="Garamond" w:cs="Sanskrit Text"/>
          <w:color w:val="111111"/>
          <w:sz w:val="24"/>
          <w:szCs w:val="24"/>
        </w:rPr>
        <w:t xml:space="preserve"> </w:t>
      </w:r>
      <w:r w:rsidR="00466D58">
        <w:rPr>
          <w:rFonts w:ascii="Garamond" w:eastAsia="Calibri" w:hAnsi="Garamond" w:cs="Sanskrit Text"/>
          <w:color w:val="111111"/>
          <w:sz w:val="24"/>
          <w:szCs w:val="24"/>
        </w:rPr>
        <w:t>company</w:t>
      </w:r>
      <w:r w:rsidR="00C34C6A" w:rsidRPr="001A23D9">
        <w:rPr>
          <w:rFonts w:ascii="Garamond" w:eastAsia="Calibri" w:hAnsi="Garamond" w:cs="Sanskrit Text"/>
          <w:color w:val="111111"/>
          <w:sz w:val="24"/>
          <w:szCs w:val="24"/>
        </w:rPr>
        <w:t xml:space="preserve"> has a beta of 1.0 relative to </w:t>
      </w:r>
      <w:r w:rsidR="0081117E" w:rsidRPr="001A23D9">
        <w:rPr>
          <w:rFonts w:ascii="Garamond" w:eastAsia="Calibri" w:hAnsi="Garamond" w:cs="Sanskrit Text"/>
          <w:color w:val="111111"/>
          <w:sz w:val="24"/>
          <w:szCs w:val="24"/>
        </w:rPr>
        <w:t>the market</w:t>
      </w:r>
      <w:r w:rsidR="00C34C6A" w:rsidRPr="001A23D9">
        <w:rPr>
          <w:rFonts w:ascii="Garamond" w:eastAsia="Calibri" w:hAnsi="Garamond" w:cs="Sanskrit Text"/>
          <w:color w:val="111111"/>
          <w:sz w:val="24"/>
          <w:szCs w:val="24"/>
        </w:rPr>
        <w:t>.</w:t>
      </w:r>
      <w:r w:rsidR="008E4057" w:rsidRPr="001A23D9">
        <w:rPr>
          <w:rFonts w:ascii="Garamond" w:eastAsia="Calibri" w:hAnsi="Garamond" w:cs="Sanskrit Text"/>
          <w:color w:val="111111"/>
          <w:sz w:val="24"/>
          <w:szCs w:val="24"/>
        </w:rPr>
        <w:t xml:space="preserve"> </w:t>
      </w:r>
      <w:r w:rsidR="00C34C6A" w:rsidRPr="001A23D9">
        <w:rPr>
          <w:rFonts w:ascii="Garamond" w:eastAsia="Calibri" w:hAnsi="Garamond" w:cs="Sanskrit Text"/>
          <w:color w:val="111111"/>
          <w:sz w:val="24"/>
          <w:szCs w:val="24"/>
        </w:rPr>
        <w:t xml:space="preserve"> A</w:t>
      </w:r>
      <w:r w:rsidR="00AE489E">
        <w:rPr>
          <w:rFonts w:ascii="Garamond" w:eastAsia="Calibri" w:hAnsi="Garamond" w:cs="Sanskrit Text"/>
          <w:color w:val="111111"/>
          <w:sz w:val="24"/>
          <w:szCs w:val="24"/>
        </w:rPr>
        <w:t>n</w:t>
      </w:r>
      <w:r w:rsidR="00C34C6A" w:rsidRPr="001A23D9">
        <w:rPr>
          <w:rFonts w:ascii="Garamond" w:eastAsia="Calibri" w:hAnsi="Garamond" w:cs="Sanskrit Text"/>
          <w:color w:val="111111"/>
          <w:sz w:val="24"/>
          <w:szCs w:val="24"/>
        </w:rPr>
        <w:t xml:space="preserve"> </w:t>
      </w:r>
      <w:r w:rsidR="00AE489E">
        <w:rPr>
          <w:rFonts w:ascii="Garamond" w:eastAsia="Calibri" w:hAnsi="Garamond" w:cs="Sanskrit Text"/>
          <w:color w:val="111111"/>
          <w:sz w:val="24"/>
          <w:szCs w:val="24"/>
        </w:rPr>
        <w:t>asset</w:t>
      </w:r>
      <w:r w:rsidR="00C34C6A" w:rsidRPr="001A23D9">
        <w:rPr>
          <w:rFonts w:ascii="Garamond" w:eastAsia="Calibri" w:hAnsi="Garamond" w:cs="Sanskrit Text"/>
          <w:color w:val="111111"/>
          <w:sz w:val="24"/>
          <w:szCs w:val="24"/>
        </w:rPr>
        <w:t xml:space="preserve"> with a beta of .50, therefore, has half as much systematic risk as an average asset; an asset with a beta of 2.0 has twice as much.</w:t>
      </w:r>
      <w:r w:rsidR="00C34C6A" w:rsidRPr="001A23D9">
        <w:rPr>
          <w:rStyle w:val="FootnoteReference"/>
          <w:rFonts w:ascii="Garamond" w:eastAsia="Calibri" w:hAnsi="Garamond" w:cs="Sanskrit Text"/>
          <w:color w:val="111111"/>
          <w:sz w:val="24"/>
          <w:szCs w:val="24"/>
        </w:rPr>
        <w:footnoteReference w:id="11"/>
      </w:r>
    </w:p>
    <w:p w14:paraId="49EDD3DF" w14:textId="431AE221" w:rsidR="00AC21F3" w:rsidRPr="001A23D9" w:rsidRDefault="00E05CD9" w:rsidP="00AC21F3">
      <w:pPr>
        <w:autoSpaceDE w:val="0"/>
        <w:autoSpaceDN w:val="0"/>
        <w:adjustRightInd w:val="0"/>
        <w:spacing w:after="160" w:line="259" w:lineRule="auto"/>
        <w:rPr>
          <w:rFonts w:ascii="Garamond" w:eastAsia="Calibri" w:hAnsi="Garamond" w:cs="Sanskrit Text"/>
          <w:color w:val="222222"/>
          <w:sz w:val="24"/>
          <w:szCs w:val="24"/>
          <w:lang w:val="en"/>
        </w:rPr>
      </w:pPr>
      <w:r w:rsidRPr="001A23D9">
        <w:rPr>
          <w:rFonts w:ascii="Garamond" w:eastAsia="Calibri" w:hAnsi="Garamond" w:cs="Sanskrit Text"/>
          <w:color w:val="222222"/>
          <w:sz w:val="24"/>
          <w:szCs w:val="24"/>
          <w:lang w:val="en"/>
        </w:rPr>
        <w:t xml:space="preserve">Value Line Investment Survey calculates an estimate of Beta for each of the selected guideline companies. </w:t>
      </w:r>
      <w:r w:rsidR="0053363F" w:rsidRPr="001A23D9">
        <w:rPr>
          <w:rFonts w:ascii="Garamond" w:eastAsia="Calibri" w:hAnsi="Garamond" w:cs="Sanskrit Text"/>
          <w:color w:val="222222"/>
          <w:sz w:val="24"/>
          <w:szCs w:val="24"/>
          <w:lang w:val="en"/>
        </w:rPr>
        <w:t xml:space="preserve">The </w:t>
      </w:r>
      <w:r w:rsidR="0056059E" w:rsidRPr="001A23D9">
        <w:rPr>
          <w:rFonts w:ascii="Garamond" w:eastAsia="Calibri" w:hAnsi="Garamond" w:cs="Sanskrit Text"/>
          <w:color w:val="222222"/>
          <w:sz w:val="24"/>
          <w:szCs w:val="24"/>
          <w:lang w:val="en"/>
        </w:rPr>
        <w:t>Beta estimates</w:t>
      </w:r>
      <w:r w:rsidR="0053363F" w:rsidRPr="001A23D9">
        <w:rPr>
          <w:rFonts w:ascii="Garamond" w:eastAsia="Calibri" w:hAnsi="Garamond" w:cs="Sanskrit Text"/>
          <w:color w:val="222222"/>
          <w:sz w:val="24"/>
          <w:szCs w:val="24"/>
          <w:lang w:val="en"/>
        </w:rPr>
        <w:t xml:space="preserve"> used in our studies</w:t>
      </w:r>
      <w:r w:rsidR="0056059E" w:rsidRPr="001A23D9">
        <w:rPr>
          <w:rFonts w:ascii="Garamond" w:eastAsia="Calibri" w:hAnsi="Garamond" w:cs="Sanskrit Text"/>
          <w:color w:val="222222"/>
          <w:sz w:val="24"/>
          <w:szCs w:val="24"/>
          <w:lang w:val="en"/>
        </w:rPr>
        <w:t xml:space="preserve"> are </w:t>
      </w:r>
      <w:r w:rsidRPr="001A23D9">
        <w:rPr>
          <w:rFonts w:ascii="Garamond" w:eastAsia="Calibri" w:hAnsi="Garamond" w:cs="Sanskrit Text"/>
          <w:color w:val="222222"/>
          <w:sz w:val="24"/>
          <w:szCs w:val="24"/>
          <w:lang w:val="en"/>
        </w:rPr>
        <w:t>directly</w:t>
      </w:r>
      <w:r w:rsidR="0056059E" w:rsidRPr="001A23D9">
        <w:rPr>
          <w:rFonts w:ascii="Garamond" w:eastAsia="Calibri" w:hAnsi="Garamond" w:cs="Sanskrit Text"/>
          <w:color w:val="222222"/>
          <w:sz w:val="24"/>
          <w:szCs w:val="24"/>
          <w:lang w:val="en"/>
        </w:rPr>
        <w:t xml:space="preserve"> from </w:t>
      </w:r>
      <w:r w:rsidRPr="001A23D9">
        <w:rPr>
          <w:rFonts w:ascii="Garamond" w:eastAsia="Calibri" w:hAnsi="Garamond" w:cs="Sanskrit Text"/>
          <w:color w:val="222222"/>
          <w:sz w:val="24"/>
          <w:szCs w:val="24"/>
          <w:lang w:val="en"/>
        </w:rPr>
        <w:t>Value Line.</w:t>
      </w:r>
    </w:p>
    <w:p w14:paraId="38D9B794" w14:textId="41F3C2FE" w:rsidR="0056059E" w:rsidRPr="004717B0" w:rsidRDefault="004717B0" w:rsidP="00AC21F3">
      <w:pPr>
        <w:autoSpaceDE w:val="0"/>
        <w:autoSpaceDN w:val="0"/>
        <w:adjustRightInd w:val="0"/>
        <w:spacing w:after="160" w:line="259" w:lineRule="auto"/>
        <w:rPr>
          <w:rFonts w:ascii="Garamond" w:eastAsia="Calibri" w:hAnsi="Garamond" w:cs="Sanskrit Text"/>
          <w:color w:val="222222"/>
          <w:sz w:val="24"/>
          <w:szCs w:val="24"/>
          <w:lang w:val="en"/>
        </w:rPr>
      </w:pPr>
      <w:r w:rsidRPr="004717B0">
        <w:rPr>
          <w:rFonts w:ascii="Garamond" w:eastAsia="Calibri" w:hAnsi="Garamond" w:cs="Sanskrit Text"/>
          <w:b/>
          <w:bCs/>
          <w:sz w:val="24"/>
          <w:szCs w:val="24"/>
          <w:u w:val="single"/>
        </w:rPr>
        <w:t>DIVIDEND GROWTH MODEL (DGM)</w:t>
      </w:r>
    </w:p>
    <w:p w14:paraId="13648934" w14:textId="49C3703E" w:rsidR="0056059E" w:rsidRPr="001A23D9" w:rsidRDefault="0056059E" w:rsidP="00AC21F3">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A Dividend Growth Model, or commonly known by its acronym, DGM</w:t>
      </w:r>
      <w:r w:rsidR="006C6FB0" w:rsidRPr="001A23D9">
        <w:rPr>
          <w:rFonts w:ascii="Garamond" w:eastAsia="Calibri" w:hAnsi="Garamond" w:cs="Sanskrit Text"/>
          <w:sz w:val="24"/>
          <w:szCs w:val="24"/>
        </w:rPr>
        <w:t xml:space="preserve"> </w:t>
      </w:r>
      <w:r w:rsidRPr="001A23D9">
        <w:rPr>
          <w:rFonts w:ascii="Garamond" w:eastAsia="Calibri" w:hAnsi="Garamond" w:cs="Sanskrit Text"/>
          <w:sz w:val="24"/>
          <w:szCs w:val="24"/>
        </w:rPr>
        <w:t xml:space="preserve">is a financial equity valuation model based on the Gordon </w:t>
      </w:r>
      <w:r w:rsidR="00211A05" w:rsidRPr="001A23D9">
        <w:rPr>
          <w:rFonts w:ascii="Garamond" w:eastAsia="Calibri" w:hAnsi="Garamond" w:cs="Sanskrit Text"/>
          <w:sz w:val="24"/>
          <w:szCs w:val="24"/>
        </w:rPr>
        <w:t>G</w:t>
      </w:r>
      <w:r w:rsidRPr="001A23D9">
        <w:rPr>
          <w:rFonts w:ascii="Garamond" w:eastAsia="Calibri" w:hAnsi="Garamond" w:cs="Sanskrit Text"/>
          <w:sz w:val="24"/>
          <w:szCs w:val="24"/>
        </w:rPr>
        <w:t xml:space="preserve">rowth </w:t>
      </w:r>
      <w:r w:rsidR="00211A05" w:rsidRPr="001A23D9">
        <w:rPr>
          <w:rFonts w:ascii="Garamond" w:eastAsia="Calibri" w:hAnsi="Garamond" w:cs="Sanskrit Text"/>
          <w:sz w:val="24"/>
          <w:szCs w:val="24"/>
        </w:rPr>
        <w:t>M</w:t>
      </w:r>
      <w:r w:rsidRPr="001A23D9">
        <w:rPr>
          <w:rFonts w:ascii="Garamond" w:eastAsia="Calibri" w:hAnsi="Garamond" w:cs="Sanskrit Text"/>
          <w:sz w:val="24"/>
          <w:szCs w:val="24"/>
        </w:rPr>
        <w:t xml:space="preserve">odel developed by financial economist Myron Gordon, PhD in 1956. Other names for this model include the Dividend Discount Model (DDM) and the </w:t>
      </w:r>
      <w:r w:rsidR="006C6FB0" w:rsidRPr="001A23D9">
        <w:rPr>
          <w:rFonts w:ascii="Garamond" w:eastAsia="Calibri" w:hAnsi="Garamond" w:cs="Sanskrit Text"/>
          <w:sz w:val="24"/>
          <w:szCs w:val="24"/>
        </w:rPr>
        <w:t>D</w:t>
      </w:r>
      <w:r w:rsidRPr="001A23D9">
        <w:rPr>
          <w:rFonts w:ascii="Garamond" w:eastAsia="Calibri" w:hAnsi="Garamond" w:cs="Sanskrit Text"/>
          <w:sz w:val="24"/>
          <w:szCs w:val="24"/>
        </w:rPr>
        <w:t xml:space="preserve">iscounted </w:t>
      </w:r>
      <w:r w:rsidR="006C6FB0" w:rsidRPr="001A23D9">
        <w:rPr>
          <w:rFonts w:ascii="Garamond" w:eastAsia="Calibri" w:hAnsi="Garamond" w:cs="Sanskrit Text"/>
          <w:sz w:val="24"/>
          <w:szCs w:val="24"/>
        </w:rPr>
        <w:t>C</w:t>
      </w:r>
      <w:r w:rsidRPr="001A23D9">
        <w:rPr>
          <w:rFonts w:ascii="Garamond" w:eastAsia="Calibri" w:hAnsi="Garamond" w:cs="Sanskrit Text"/>
          <w:sz w:val="24"/>
          <w:szCs w:val="24"/>
        </w:rPr>
        <w:t xml:space="preserve">ash </w:t>
      </w:r>
      <w:r w:rsidR="006C6FB0" w:rsidRPr="001A23D9">
        <w:rPr>
          <w:rFonts w:ascii="Garamond" w:eastAsia="Calibri" w:hAnsi="Garamond" w:cs="Sanskrit Text"/>
          <w:sz w:val="24"/>
          <w:szCs w:val="24"/>
        </w:rPr>
        <w:t>F</w:t>
      </w:r>
      <w:r w:rsidRPr="001A23D9">
        <w:rPr>
          <w:rFonts w:ascii="Garamond" w:eastAsia="Calibri" w:hAnsi="Garamond" w:cs="Sanskrit Text"/>
          <w:sz w:val="24"/>
          <w:szCs w:val="24"/>
        </w:rPr>
        <w:t xml:space="preserve">low </w:t>
      </w:r>
      <w:r w:rsidR="006C6FB0" w:rsidRPr="001A23D9">
        <w:rPr>
          <w:rFonts w:ascii="Garamond" w:eastAsia="Calibri" w:hAnsi="Garamond" w:cs="Sanskrit Text"/>
          <w:sz w:val="24"/>
          <w:szCs w:val="24"/>
        </w:rPr>
        <w:t>m</w:t>
      </w:r>
      <w:r w:rsidRPr="001A23D9">
        <w:rPr>
          <w:rFonts w:ascii="Garamond" w:eastAsia="Calibri" w:hAnsi="Garamond" w:cs="Sanskrit Text"/>
          <w:sz w:val="24"/>
          <w:szCs w:val="24"/>
        </w:rPr>
        <w:t>odel</w:t>
      </w:r>
      <w:r w:rsidR="001303E2">
        <w:rPr>
          <w:rFonts w:ascii="Garamond" w:eastAsia="Calibri" w:hAnsi="Garamond" w:cs="Sanskrit Text"/>
          <w:sz w:val="24"/>
          <w:szCs w:val="24"/>
        </w:rPr>
        <w:t xml:space="preserve"> (DCF)</w:t>
      </w:r>
      <w:r w:rsidRPr="001A23D9">
        <w:rPr>
          <w:rFonts w:ascii="Garamond" w:eastAsia="Calibri" w:hAnsi="Garamond" w:cs="Sanskrit Text"/>
          <w:sz w:val="24"/>
          <w:szCs w:val="24"/>
        </w:rPr>
        <w:t>, but regardless of the name</w:t>
      </w:r>
      <w:r w:rsidR="000E4056">
        <w:rPr>
          <w:rFonts w:ascii="Garamond" w:eastAsia="Calibri" w:hAnsi="Garamond" w:cs="Sanskrit Text"/>
          <w:sz w:val="24"/>
          <w:szCs w:val="24"/>
        </w:rPr>
        <w:t>,</w:t>
      </w:r>
      <w:r w:rsidRPr="001A23D9">
        <w:rPr>
          <w:rFonts w:ascii="Garamond" w:eastAsia="Calibri" w:hAnsi="Garamond" w:cs="Sanskrit Text"/>
          <w:sz w:val="24"/>
          <w:szCs w:val="24"/>
        </w:rPr>
        <w:t xml:space="preserve"> these variants represent different mathematical forms of the same equity model.</w:t>
      </w:r>
    </w:p>
    <w:p w14:paraId="12F03A9A" w14:textId="5EBA8B72" w:rsidR="0056059E" w:rsidRPr="001A23D9" w:rsidRDefault="0056059E" w:rsidP="009161D7">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This equity model states that the cost of the equity component is equivalent to the current dividend yield plus the expected growth rate of these same dividends. The model </w:t>
      </w:r>
      <w:r w:rsidR="006C6FB0" w:rsidRPr="001A23D9">
        <w:rPr>
          <w:rFonts w:ascii="Garamond" w:eastAsia="Calibri" w:hAnsi="Garamond" w:cs="Sanskrit Text"/>
          <w:sz w:val="24"/>
          <w:szCs w:val="24"/>
        </w:rPr>
        <w:t xml:space="preserve">we employ </w:t>
      </w:r>
      <w:r w:rsidRPr="001A23D9">
        <w:rPr>
          <w:rFonts w:ascii="Garamond" w:eastAsia="Calibri" w:hAnsi="Garamond" w:cs="Sanskrit Text"/>
          <w:sz w:val="24"/>
          <w:szCs w:val="24"/>
        </w:rPr>
        <w:t>is commonly expressed in the following form</w:t>
      </w:r>
      <w:r w:rsidR="005E10BA" w:rsidRPr="001A23D9">
        <w:rPr>
          <w:rFonts w:ascii="Garamond" w:eastAsia="Calibri" w:hAnsi="Garamond" w:cs="Sanskrit Text"/>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885"/>
        <w:gridCol w:w="900"/>
        <w:gridCol w:w="3685"/>
      </w:tblGrid>
      <w:tr w:rsidR="00AA6A83" w:rsidRPr="001A23D9" w14:paraId="33D64338" w14:textId="77777777" w:rsidTr="00AA6A83">
        <w:trPr>
          <w:trHeight w:val="323"/>
          <w:jc w:val="center"/>
        </w:trPr>
        <w:tc>
          <w:tcPr>
            <w:tcW w:w="6470" w:type="dxa"/>
            <w:gridSpan w:val="3"/>
          </w:tcPr>
          <w:p w14:paraId="4BF93E42" w14:textId="77777777" w:rsidR="00AA6A83" w:rsidRPr="001A23D9" w:rsidRDefault="00AA6A83" w:rsidP="003A6E31">
            <w:pPr>
              <w:spacing w:line="360" w:lineRule="auto"/>
              <w:jc w:val="center"/>
              <w:rPr>
                <w:rFonts w:ascii="Garamond" w:eastAsia="Calibri" w:hAnsi="Garamond" w:cs="Sanskrit Text"/>
                <w:b/>
                <w:bCs/>
                <w:sz w:val="24"/>
                <w:szCs w:val="24"/>
              </w:rPr>
            </w:pPr>
            <w:r w:rsidRPr="001A23D9">
              <w:rPr>
                <w:rFonts w:ascii="Garamond" w:eastAsia="Calibri" w:hAnsi="Garamond" w:cs="Sanskrit Text"/>
                <w:b/>
                <w:bCs/>
                <w:sz w:val="24"/>
                <w:szCs w:val="24"/>
              </w:rPr>
              <w:t>K</w:t>
            </w:r>
            <w:r w:rsidRPr="001A23D9">
              <w:rPr>
                <w:rFonts w:ascii="Garamond" w:eastAsia="Calibri" w:hAnsi="Garamond" w:cs="Sanskrit Text"/>
                <w:b/>
                <w:bCs/>
                <w:sz w:val="24"/>
                <w:szCs w:val="24"/>
                <w:vertAlign w:val="subscript"/>
              </w:rPr>
              <w:t>e</w:t>
            </w:r>
            <w:r w:rsidRPr="001A23D9">
              <w:rPr>
                <w:rFonts w:ascii="Garamond" w:eastAsia="Calibri" w:hAnsi="Garamond" w:cs="Sanskrit Text"/>
                <w:b/>
                <w:bCs/>
                <w:sz w:val="24"/>
                <w:szCs w:val="24"/>
              </w:rPr>
              <w:t xml:space="preserve"> = (D</w:t>
            </w:r>
            <w:r w:rsidRPr="001A23D9">
              <w:rPr>
                <w:rFonts w:ascii="Garamond" w:eastAsia="Calibri" w:hAnsi="Garamond" w:cs="Sanskrit Text"/>
                <w:b/>
                <w:bCs/>
                <w:sz w:val="24"/>
                <w:szCs w:val="24"/>
                <w:vertAlign w:val="subscript"/>
              </w:rPr>
              <w:t>1</w:t>
            </w:r>
            <w:r w:rsidRPr="001A23D9">
              <w:rPr>
                <w:rFonts w:ascii="Garamond" w:eastAsia="Calibri" w:hAnsi="Garamond" w:cs="Sanskrit Text"/>
                <w:b/>
                <w:bCs/>
                <w:sz w:val="24"/>
                <w:szCs w:val="24"/>
              </w:rPr>
              <w:t>/P</w:t>
            </w:r>
            <w:r w:rsidRPr="001A23D9">
              <w:rPr>
                <w:rFonts w:ascii="Garamond" w:eastAsia="Calibri" w:hAnsi="Garamond" w:cs="Sanskrit Text"/>
                <w:b/>
                <w:bCs/>
                <w:sz w:val="24"/>
                <w:szCs w:val="24"/>
                <w:vertAlign w:val="subscript"/>
              </w:rPr>
              <w:t>0</w:t>
            </w:r>
            <w:r w:rsidRPr="001A23D9">
              <w:rPr>
                <w:rFonts w:ascii="Garamond" w:eastAsia="Calibri" w:hAnsi="Garamond" w:cs="Sanskrit Text"/>
                <w:b/>
                <w:bCs/>
                <w:sz w:val="24"/>
                <w:szCs w:val="24"/>
              </w:rPr>
              <w:t>) + G</w:t>
            </w:r>
          </w:p>
        </w:tc>
      </w:tr>
      <w:tr w:rsidR="00AA6A83" w:rsidRPr="001A23D9" w14:paraId="6D24085F" w14:textId="77777777" w:rsidTr="00AA6A83">
        <w:trPr>
          <w:jc w:val="center"/>
        </w:trPr>
        <w:tc>
          <w:tcPr>
            <w:tcW w:w="1885" w:type="dxa"/>
          </w:tcPr>
          <w:p w14:paraId="3DDD7BA2" w14:textId="77777777" w:rsidR="00AA6A83" w:rsidRPr="001A23D9" w:rsidRDefault="00AA6A83" w:rsidP="003A6E31">
            <w:pPr>
              <w:jc w:val="right"/>
              <w:rPr>
                <w:rFonts w:ascii="Garamond" w:eastAsia="Calibri" w:hAnsi="Garamond" w:cs="Sanskrit Text"/>
                <w:sz w:val="24"/>
                <w:szCs w:val="24"/>
              </w:rPr>
            </w:pPr>
            <w:r w:rsidRPr="001A23D9">
              <w:rPr>
                <w:rFonts w:ascii="Garamond" w:eastAsia="Calibri" w:hAnsi="Garamond" w:cs="Sanskrit Text"/>
                <w:sz w:val="24"/>
                <w:szCs w:val="24"/>
              </w:rPr>
              <w:t>Where:</w:t>
            </w:r>
          </w:p>
        </w:tc>
        <w:tc>
          <w:tcPr>
            <w:tcW w:w="900" w:type="dxa"/>
          </w:tcPr>
          <w:p w14:paraId="74DCC9D8" w14:textId="77777777" w:rsidR="00AA6A83" w:rsidRPr="001A23D9" w:rsidRDefault="00AA6A83" w:rsidP="003A6E31">
            <w:pPr>
              <w:jc w:val="right"/>
              <w:rPr>
                <w:rFonts w:ascii="Garamond" w:eastAsia="Calibri" w:hAnsi="Garamond" w:cs="Sanskrit Text"/>
                <w:sz w:val="24"/>
                <w:szCs w:val="24"/>
                <w:vertAlign w:val="subscript"/>
              </w:rPr>
            </w:pPr>
            <w:r w:rsidRPr="001A23D9">
              <w:rPr>
                <w:rFonts w:ascii="Garamond" w:eastAsia="Calibri" w:hAnsi="Garamond" w:cs="Sanskrit Text"/>
                <w:sz w:val="24"/>
                <w:szCs w:val="24"/>
              </w:rPr>
              <w:t>K</w:t>
            </w:r>
            <w:r w:rsidRPr="001A23D9">
              <w:rPr>
                <w:rFonts w:ascii="Garamond" w:eastAsia="Calibri" w:hAnsi="Garamond" w:cs="Sanskrit Text"/>
                <w:sz w:val="24"/>
                <w:szCs w:val="24"/>
                <w:vertAlign w:val="subscript"/>
              </w:rPr>
              <w:t>e</w:t>
            </w:r>
          </w:p>
        </w:tc>
        <w:tc>
          <w:tcPr>
            <w:tcW w:w="3685" w:type="dxa"/>
          </w:tcPr>
          <w:p w14:paraId="5538550F" w14:textId="77777777" w:rsidR="00AA6A83" w:rsidRPr="001A23D9" w:rsidRDefault="00AA6A83" w:rsidP="003A6E31">
            <w:pPr>
              <w:rPr>
                <w:rFonts w:ascii="Garamond" w:eastAsia="Calibri" w:hAnsi="Garamond" w:cs="Sanskrit Text"/>
                <w:sz w:val="24"/>
                <w:szCs w:val="24"/>
              </w:rPr>
            </w:pPr>
            <w:r w:rsidRPr="001A23D9">
              <w:rPr>
                <w:rFonts w:ascii="Garamond" w:eastAsia="Calibri" w:hAnsi="Garamond" w:cs="Sanskrit Text"/>
                <w:sz w:val="24"/>
                <w:szCs w:val="24"/>
              </w:rPr>
              <w:t>= Cost of Equity</w:t>
            </w:r>
          </w:p>
        </w:tc>
      </w:tr>
      <w:tr w:rsidR="00AA6A83" w:rsidRPr="001A23D9" w14:paraId="4D526844" w14:textId="77777777" w:rsidTr="00AA6A83">
        <w:trPr>
          <w:jc w:val="center"/>
        </w:trPr>
        <w:tc>
          <w:tcPr>
            <w:tcW w:w="1885" w:type="dxa"/>
          </w:tcPr>
          <w:p w14:paraId="1A62223E" w14:textId="77777777" w:rsidR="00AA6A83" w:rsidRPr="001A23D9" w:rsidRDefault="00AA6A83" w:rsidP="003A6E31">
            <w:pPr>
              <w:rPr>
                <w:rFonts w:ascii="Garamond" w:eastAsia="Calibri" w:hAnsi="Garamond" w:cs="Sanskrit Text"/>
                <w:sz w:val="24"/>
                <w:szCs w:val="24"/>
              </w:rPr>
            </w:pPr>
          </w:p>
        </w:tc>
        <w:tc>
          <w:tcPr>
            <w:tcW w:w="900" w:type="dxa"/>
          </w:tcPr>
          <w:p w14:paraId="41C87692" w14:textId="77777777" w:rsidR="00AA6A83" w:rsidRPr="001A23D9" w:rsidRDefault="00AA6A83" w:rsidP="003A6E31">
            <w:pPr>
              <w:jc w:val="right"/>
              <w:rPr>
                <w:rFonts w:ascii="Garamond" w:eastAsia="Calibri" w:hAnsi="Garamond" w:cs="Sanskrit Text"/>
                <w:sz w:val="24"/>
                <w:szCs w:val="24"/>
              </w:rPr>
            </w:pPr>
            <w:r w:rsidRPr="001A23D9">
              <w:rPr>
                <w:rFonts w:ascii="Garamond" w:eastAsia="Calibri" w:hAnsi="Garamond" w:cs="Sanskrit Text"/>
                <w:sz w:val="24"/>
                <w:szCs w:val="24"/>
              </w:rPr>
              <w:t>D</w:t>
            </w:r>
            <w:r w:rsidRPr="001A23D9">
              <w:rPr>
                <w:rFonts w:ascii="Garamond" w:eastAsia="Calibri" w:hAnsi="Garamond" w:cs="Sanskrit Text"/>
                <w:sz w:val="24"/>
                <w:szCs w:val="24"/>
                <w:vertAlign w:val="subscript"/>
              </w:rPr>
              <w:t>1</w:t>
            </w:r>
            <w:r w:rsidRPr="001A23D9">
              <w:rPr>
                <w:rFonts w:ascii="Garamond" w:eastAsia="Calibri" w:hAnsi="Garamond" w:cs="Sanskrit Text"/>
                <w:sz w:val="24"/>
                <w:szCs w:val="24"/>
              </w:rPr>
              <w:t xml:space="preserve"> </w:t>
            </w:r>
          </w:p>
        </w:tc>
        <w:tc>
          <w:tcPr>
            <w:tcW w:w="3685" w:type="dxa"/>
          </w:tcPr>
          <w:p w14:paraId="427994E8" w14:textId="77777777" w:rsidR="00AA6A83" w:rsidRPr="001A23D9" w:rsidRDefault="00AA6A83" w:rsidP="003A6E31">
            <w:pPr>
              <w:rPr>
                <w:rFonts w:ascii="Garamond" w:eastAsia="Calibri" w:hAnsi="Garamond" w:cs="Sanskrit Text"/>
                <w:sz w:val="24"/>
                <w:szCs w:val="24"/>
              </w:rPr>
            </w:pPr>
            <w:r w:rsidRPr="001A23D9">
              <w:rPr>
                <w:rFonts w:ascii="Garamond" w:eastAsia="Calibri" w:hAnsi="Garamond" w:cs="Sanskrit Text"/>
                <w:sz w:val="24"/>
                <w:szCs w:val="24"/>
              </w:rPr>
              <w:t>= Expected dividend per share</w:t>
            </w:r>
          </w:p>
        </w:tc>
      </w:tr>
      <w:tr w:rsidR="00AA6A83" w:rsidRPr="001A23D9" w14:paraId="40F8BF23" w14:textId="77777777" w:rsidTr="00AA6A83">
        <w:trPr>
          <w:jc w:val="center"/>
        </w:trPr>
        <w:tc>
          <w:tcPr>
            <w:tcW w:w="1885" w:type="dxa"/>
          </w:tcPr>
          <w:p w14:paraId="6D76C654" w14:textId="77777777" w:rsidR="00AA6A83" w:rsidRPr="001A23D9" w:rsidRDefault="00AA6A83" w:rsidP="003A6E31">
            <w:pPr>
              <w:rPr>
                <w:rFonts w:ascii="Garamond" w:eastAsia="Calibri" w:hAnsi="Garamond" w:cs="Sanskrit Text"/>
                <w:sz w:val="24"/>
                <w:szCs w:val="24"/>
              </w:rPr>
            </w:pPr>
          </w:p>
        </w:tc>
        <w:tc>
          <w:tcPr>
            <w:tcW w:w="900" w:type="dxa"/>
          </w:tcPr>
          <w:p w14:paraId="00A36541" w14:textId="77777777" w:rsidR="00AA6A83" w:rsidRPr="001A23D9" w:rsidRDefault="00AA6A83" w:rsidP="003A6E31">
            <w:pPr>
              <w:jc w:val="right"/>
              <w:rPr>
                <w:rFonts w:ascii="Garamond" w:eastAsia="Calibri" w:hAnsi="Garamond" w:cs="Sanskrit Text"/>
                <w:sz w:val="24"/>
                <w:szCs w:val="24"/>
              </w:rPr>
            </w:pPr>
            <w:r w:rsidRPr="001A23D9">
              <w:rPr>
                <w:rFonts w:ascii="Garamond" w:eastAsia="Calibri" w:hAnsi="Garamond" w:cs="Sanskrit Text"/>
                <w:sz w:val="24"/>
                <w:szCs w:val="24"/>
              </w:rPr>
              <w:t>P</w:t>
            </w:r>
            <w:r w:rsidRPr="001A23D9">
              <w:rPr>
                <w:rFonts w:ascii="Garamond" w:eastAsia="Calibri" w:hAnsi="Garamond" w:cs="Sanskrit Text"/>
                <w:sz w:val="24"/>
                <w:szCs w:val="24"/>
                <w:vertAlign w:val="subscript"/>
              </w:rPr>
              <w:t>0</w:t>
            </w:r>
          </w:p>
        </w:tc>
        <w:tc>
          <w:tcPr>
            <w:tcW w:w="3685" w:type="dxa"/>
          </w:tcPr>
          <w:p w14:paraId="17700EE9" w14:textId="77777777" w:rsidR="00AA6A83" w:rsidRPr="001A23D9" w:rsidRDefault="00AA6A83" w:rsidP="003A6E31">
            <w:pPr>
              <w:rPr>
                <w:rFonts w:ascii="Garamond" w:eastAsia="Calibri" w:hAnsi="Garamond" w:cs="Sanskrit Text"/>
                <w:sz w:val="24"/>
                <w:szCs w:val="24"/>
              </w:rPr>
            </w:pPr>
            <w:r w:rsidRPr="001A23D9">
              <w:rPr>
                <w:rFonts w:ascii="Garamond" w:eastAsia="Calibri" w:hAnsi="Garamond" w:cs="Sanskrit Text"/>
                <w:sz w:val="24"/>
                <w:szCs w:val="24"/>
              </w:rPr>
              <w:t>= Price per share</w:t>
            </w:r>
          </w:p>
        </w:tc>
      </w:tr>
      <w:tr w:rsidR="00AA6A83" w:rsidRPr="001A23D9" w14:paraId="76F8CC51" w14:textId="77777777" w:rsidTr="00AA6A83">
        <w:trPr>
          <w:jc w:val="center"/>
        </w:trPr>
        <w:tc>
          <w:tcPr>
            <w:tcW w:w="1885" w:type="dxa"/>
          </w:tcPr>
          <w:p w14:paraId="21C9736D" w14:textId="77777777" w:rsidR="00AA6A83" w:rsidRPr="001A23D9" w:rsidRDefault="00AA6A83" w:rsidP="003A6E31">
            <w:pPr>
              <w:rPr>
                <w:rFonts w:ascii="Garamond" w:eastAsia="Calibri" w:hAnsi="Garamond" w:cs="Sanskrit Text"/>
                <w:sz w:val="24"/>
                <w:szCs w:val="24"/>
              </w:rPr>
            </w:pPr>
          </w:p>
        </w:tc>
        <w:tc>
          <w:tcPr>
            <w:tcW w:w="900" w:type="dxa"/>
          </w:tcPr>
          <w:p w14:paraId="485DE654" w14:textId="77777777" w:rsidR="00AA6A83" w:rsidRPr="001A23D9" w:rsidRDefault="00AA6A83" w:rsidP="003A6E31">
            <w:pPr>
              <w:jc w:val="right"/>
              <w:rPr>
                <w:rFonts w:ascii="Garamond" w:eastAsia="Calibri" w:hAnsi="Garamond" w:cs="Sanskrit Text"/>
                <w:sz w:val="24"/>
                <w:szCs w:val="24"/>
              </w:rPr>
            </w:pPr>
            <w:r w:rsidRPr="001A23D9">
              <w:rPr>
                <w:rFonts w:ascii="Garamond" w:eastAsia="Calibri" w:hAnsi="Garamond" w:cs="Sanskrit Text"/>
                <w:sz w:val="24"/>
                <w:szCs w:val="24"/>
              </w:rPr>
              <w:t>D</w:t>
            </w:r>
            <w:r w:rsidRPr="001A23D9">
              <w:rPr>
                <w:rFonts w:ascii="Garamond" w:eastAsia="Calibri" w:hAnsi="Garamond" w:cs="Sanskrit Text"/>
                <w:sz w:val="24"/>
                <w:szCs w:val="24"/>
                <w:vertAlign w:val="subscript"/>
              </w:rPr>
              <w:t>1</w:t>
            </w:r>
            <w:r w:rsidRPr="001A23D9">
              <w:rPr>
                <w:rFonts w:ascii="Garamond" w:eastAsia="Calibri" w:hAnsi="Garamond" w:cs="Sanskrit Text"/>
                <w:sz w:val="24"/>
                <w:szCs w:val="24"/>
              </w:rPr>
              <w:t>/P</w:t>
            </w:r>
            <w:r w:rsidRPr="001A23D9">
              <w:rPr>
                <w:rFonts w:ascii="Garamond" w:eastAsia="Calibri" w:hAnsi="Garamond" w:cs="Sanskrit Text"/>
                <w:sz w:val="24"/>
                <w:szCs w:val="24"/>
                <w:vertAlign w:val="subscript"/>
              </w:rPr>
              <w:t>0</w:t>
            </w:r>
            <w:r w:rsidRPr="001A23D9">
              <w:rPr>
                <w:rFonts w:ascii="Garamond" w:eastAsia="Calibri" w:hAnsi="Garamond" w:cs="Sanskrit Text"/>
                <w:sz w:val="24"/>
                <w:szCs w:val="24"/>
              </w:rPr>
              <w:t xml:space="preserve"> </w:t>
            </w:r>
          </w:p>
        </w:tc>
        <w:tc>
          <w:tcPr>
            <w:tcW w:w="3685" w:type="dxa"/>
          </w:tcPr>
          <w:p w14:paraId="5559F42A" w14:textId="77777777" w:rsidR="00AA6A83" w:rsidRPr="001A23D9" w:rsidRDefault="00AA6A83" w:rsidP="003A6E31">
            <w:pPr>
              <w:rPr>
                <w:rFonts w:ascii="Garamond" w:eastAsia="Calibri" w:hAnsi="Garamond" w:cs="Sanskrit Text"/>
                <w:sz w:val="24"/>
                <w:szCs w:val="24"/>
              </w:rPr>
            </w:pPr>
            <w:r w:rsidRPr="001A23D9">
              <w:rPr>
                <w:rFonts w:ascii="Garamond" w:eastAsia="Calibri" w:hAnsi="Garamond" w:cs="Sanskrit Text"/>
                <w:sz w:val="24"/>
                <w:szCs w:val="24"/>
              </w:rPr>
              <w:t>= Expected dividend yield</w:t>
            </w:r>
          </w:p>
        </w:tc>
      </w:tr>
    </w:tbl>
    <w:p w14:paraId="73E56229" w14:textId="77777777" w:rsidR="00FC269A" w:rsidRDefault="00FC269A" w:rsidP="009161D7">
      <w:pPr>
        <w:spacing w:before="160" w:after="0" w:line="259" w:lineRule="auto"/>
        <w:rPr>
          <w:rFonts w:ascii="Garamond" w:eastAsia="Calibri" w:hAnsi="Garamond" w:cs="Sanskrit Text"/>
          <w:b/>
          <w:bCs/>
          <w:i/>
          <w:iCs/>
          <w:sz w:val="24"/>
          <w:szCs w:val="24"/>
        </w:rPr>
      </w:pPr>
    </w:p>
    <w:p w14:paraId="5CDF1DC0" w14:textId="4C3DA4BA" w:rsidR="000A07C5" w:rsidRPr="001A23D9" w:rsidRDefault="006C6FB0" w:rsidP="009161D7">
      <w:pPr>
        <w:spacing w:before="160" w:after="0" w:line="259" w:lineRule="auto"/>
        <w:rPr>
          <w:rFonts w:ascii="Garamond" w:eastAsia="Calibri" w:hAnsi="Garamond" w:cs="Sanskrit Text"/>
          <w:b/>
          <w:bCs/>
          <w:i/>
          <w:iCs/>
          <w:sz w:val="24"/>
          <w:szCs w:val="24"/>
        </w:rPr>
      </w:pPr>
      <w:r w:rsidRPr="001A23D9">
        <w:rPr>
          <w:rFonts w:ascii="Garamond" w:eastAsia="Calibri" w:hAnsi="Garamond" w:cs="Sanskrit Text"/>
          <w:b/>
          <w:bCs/>
          <w:i/>
          <w:iCs/>
          <w:sz w:val="24"/>
          <w:szCs w:val="24"/>
        </w:rPr>
        <w:t xml:space="preserve">Expected </w:t>
      </w:r>
      <w:r w:rsidR="0056059E" w:rsidRPr="001A23D9">
        <w:rPr>
          <w:rFonts w:ascii="Garamond" w:eastAsia="Calibri" w:hAnsi="Garamond" w:cs="Sanskrit Text"/>
          <w:b/>
          <w:bCs/>
          <w:i/>
          <w:iCs/>
          <w:sz w:val="24"/>
          <w:szCs w:val="24"/>
        </w:rPr>
        <w:t>Dividend Yield</w:t>
      </w:r>
      <w:r w:rsidR="000A07C5" w:rsidRPr="001A23D9">
        <w:rPr>
          <w:rFonts w:ascii="Garamond" w:eastAsia="Calibri" w:hAnsi="Garamond" w:cs="Sanskrit Text"/>
          <w:b/>
          <w:bCs/>
          <w:i/>
          <w:iCs/>
          <w:sz w:val="24"/>
          <w:szCs w:val="24"/>
        </w:rPr>
        <w:t xml:space="preserve"> (D</w:t>
      </w:r>
      <w:r w:rsidR="0002163B" w:rsidRPr="001A23D9">
        <w:rPr>
          <w:rFonts w:ascii="Garamond" w:eastAsia="Calibri" w:hAnsi="Garamond" w:cs="Sanskrit Text"/>
          <w:b/>
          <w:bCs/>
          <w:i/>
          <w:iCs/>
          <w:sz w:val="24"/>
          <w:szCs w:val="24"/>
          <w:vertAlign w:val="subscript"/>
        </w:rPr>
        <w:t>1</w:t>
      </w:r>
      <w:r w:rsidR="000A07C5" w:rsidRPr="001A23D9">
        <w:rPr>
          <w:rFonts w:ascii="Garamond" w:eastAsia="Calibri" w:hAnsi="Garamond" w:cs="Sanskrit Text"/>
          <w:b/>
          <w:bCs/>
          <w:i/>
          <w:iCs/>
          <w:sz w:val="24"/>
          <w:szCs w:val="24"/>
        </w:rPr>
        <w:t>/P</w:t>
      </w:r>
      <w:r w:rsidR="0002163B" w:rsidRPr="001A23D9">
        <w:rPr>
          <w:rFonts w:ascii="Garamond" w:eastAsia="Calibri" w:hAnsi="Garamond" w:cs="Sanskrit Text"/>
          <w:b/>
          <w:bCs/>
          <w:i/>
          <w:iCs/>
          <w:sz w:val="24"/>
          <w:szCs w:val="24"/>
          <w:vertAlign w:val="subscript"/>
        </w:rPr>
        <w:t>0</w:t>
      </w:r>
      <w:r w:rsidR="00091A85" w:rsidRPr="001A23D9">
        <w:rPr>
          <w:rFonts w:ascii="Garamond" w:eastAsia="Calibri" w:hAnsi="Garamond" w:cs="Sanskrit Text"/>
          <w:b/>
          <w:bCs/>
          <w:i/>
          <w:iCs/>
          <w:sz w:val="24"/>
          <w:szCs w:val="24"/>
        </w:rPr>
        <w:t>)</w:t>
      </w:r>
    </w:p>
    <w:p w14:paraId="5E5C61D2" w14:textId="67BDC08E" w:rsidR="00F1055F" w:rsidRPr="001A23D9" w:rsidRDefault="000A07C5" w:rsidP="00AA6A83">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The dividend yield component of the model</w:t>
      </w:r>
      <w:r w:rsidR="00F1055F" w:rsidRPr="001A23D9">
        <w:rPr>
          <w:rFonts w:ascii="Garamond" w:eastAsia="Calibri" w:hAnsi="Garamond" w:cs="Sanskrit Text"/>
          <w:sz w:val="24"/>
          <w:szCs w:val="24"/>
        </w:rPr>
        <w:t>,</w:t>
      </w:r>
      <w:r w:rsidRPr="001A23D9">
        <w:rPr>
          <w:rFonts w:ascii="Garamond" w:eastAsia="Calibri" w:hAnsi="Garamond" w:cs="Sanskrit Text"/>
          <w:sz w:val="24"/>
          <w:szCs w:val="24"/>
        </w:rPr>
        <w:t xml:space="preserve"> D/P</w:t>
      </w:r>
      <w:r w:rsidR="005A4282">
        <w:rPr>
          <w:rFonts w:ascii="Garamond" w:eastAsia="Calibri" w:hAnsi="Garamond" w:cs="Sanskrit Text"/>
          <w:sz w:val="24"/>
          <w:szCs w:val="24"/>
        </w:rPr>
        <w:t xml:space="preserve"> </w:t>
      </w:r>
      <w:r w:rsidRPr="001A23D9">
        <w:rPr>
          <w:rFonts w:ascii="Garamond" w:eastAsia="Calibri" w:hAnsi="Garamond" w:cs="Sanskrit Text"/>
          <w:sz w:val="24"/>
          <w:szCs w:val="24"/>
          <w:vertAlign w:val="subscript"/>
        </w:rPr>
        <w:t xml:space="preserve"> </w:t>
      </w:r>
      <w:r w:rsidRPr="001A23D9">
        <w:rPr>
          <w:rFonts w:ascii="Garamond" w:eastAsia="Calibri" w:hAnsi="Garamond" w:cs="Sanskrit Text"/>
          <w:sz w:val="24"/>
          <w:szCs w:val="24"/>
        </w:rPr>
        <w:t xml:space="preserve">is relatively straightforward and simple to calculate.  </w:t>
      </w:r>
      <w:r w:rsidR="00F1055F" w:rsidRPr="001A23D9">
        <w:rPr>
          <w:rFonts w:ascii="Garamond" w:eastAsia="Calibri" w:hAnsi="Garamond" w:cs="Sanskrit Text"/>
          <w:sz w:val="24"/>
          <w:szCs w:val="24"/>
        </w:rPr>
        <w:t xml:space="preserve">We </w:t>
      </w:r>
      <w:r w:rsidR="00091A85" w:rsidRPr="001A23D9">
        <w:rPr>
          <w:rFonts w:ascii="Garamond" w:eastAsia="Calibri" w:hAnsi="Garamond" w:cs="Sanskrit Text"/>
          <w:sz w:val="24"/>
          <w:szCs w:val="24"/>
        </w:rPr>
        <w:t>compile</w:t>
      </w:r>
      <w:r w:rsidR="00F1055F" w:rsidRPr="001A23D9">
        <w:rPr>
          <w:rFonts w:ascii="Garamond" w:eastAsia="Calibri" w:hAnsi="Garamond" w:cs="Sanskrit Text"/>
          <w:sz w:val="24"/>
          <w:szCs w:val="24"/>
        </w:rPr>
        <w:t xml:space="preserve"> the expected dividend per share listed for each guideline company in the Value Line reports and divide it by the listed price per share as of December 3</w:t>
      </w:r>
      <w:r w:rsidR="00ED0980" w:rsidRPr="001A23D9">
        <w:rPr>
          <w:rFonts w:ascii="Garamond" w:eastAsia="Calibri" w:hAnsi="Garamond" w:cs="Sanskrit Text"/>
          <w:sz w:val="24"/>
          <w:szCs w:val="24"/>
        </w:rPr>
        <w:t>1</w:t>
      </w:r>
      <w:r w:rsidR="00F1055F" w:rsidRPr="001A23D9">
        <w:rPr>
          <w:rFonts w:ascii="Garamond" w:eastAsia="Calibri" w:hAnsi="Garamond" w:cs="Sanskrit Text"/>
          <w:sz w:val="24"/>
          <w:szCs w:val="24"/>
          <w:vertAlign w:val="superscript"/>
        </w:rPr>
        <w:t>st</w:t>
      </w:r>
      <w:r w:rsidR="00F1055F" w:rsidRPr="001A23D9">
        <w:rPr>
          <w:rFonts w:ascii="Garamond" w:eastAsia="Calibri" w:hAnsi="Garamond" w:cs="Sanskrit Text"/>
          <w:sz w:val="24"/>
          <w:szCs w:val="24"/>
        </w:rPr>
        <w:t>.</w:t>
      </w:r>
      <w:r w:rsidR="00091A85" w:rsidRPr="001A23D9">
        <w:rPr>
          <w:rFonts w:ascii="Garamond" w:eastAsia="Calibri" w:hAnsi="Garamond" w:cs="Sanskrit Text"/>
          <w:sz w:val="24"/>
          <w:szCs w:val="24"/>
        </w:rPr>
        <w:t xml:space="preserve"> </w:t>
      </w:r>
      <w:r w:rsidR="00ED0980" w:rsidRPr="001A23D9">
        <w:rPr>
          <w:rFonts w:ascii="Garamond" w:eastAsia="Calibri" w:hAnsi="Garamond" w:cs="Sanskrit Text"/>
          <w:sz w:val="24"/>
          <w:szCs w:val="24"/>
        </w:rPr>
        <w:t xml:space="preserve"> </w:t>
      </w:r>
      <w:r w:rsidR="00091A85" w:rsidRPr="001A23D9">
        <w:rPr>
          <w:rFonts w:ascii="Garamond" w:eastAsia="Calibri" w:hAnsi="Garamond" w:cs="Sanskrit Text"/>
          <w:sz w:val="24"/>
          <w:szCs w:val="24"/>
        </w:rPr>
        <w:t xml:space="preserve">We evaluate the resulting yields to determine </w:t>
      </w:r>
      <w:r w:rsidR="00AA52CC">
        <w:rPr>
          <w:rFonts w:ascii="Garamond" w:eastAsia="Calibri" w:hAnsi="Garamond" w:cs="Sanskrit Text"/>
          <w:sz w:val="24"/>
          <w:szCs w:val="24"/>
        </w:rPr>
        <w:t>the typical</w:t>
      </w:r>
      <w:r w:rsidR="00091A85" w:rsidRPr="001A23D9">
        <w:rPr>
          <w:rFonts w:ascii="Garamond" w:eastAsia="Calibri" w:hAnsi="Garamond" w:cs="Sanskrit Text"/>
          <w:sz w:val="24"/>
          <w:szCs w:val="24"/>
        </w:rPr>
        <w:t xml:space="preserve"> dividend yield for the industry.</w:t>
      </w:r>
    </w:p>
    <w:p w14:paraId="43A41399" w14:textId="5F06ECDB" w:rsidR="0056059E" w:rsidRPr="001A23D9" w:rsidRDefault="0056059E" w:rsidP="00AA6A83">
      <w:pPr>
        <w:spacing w:after="0" w:line="259" w:lineRule="auto"/>
        <w:rPr>
          <w:rFonts w:ascii="Garamond" w:eastAsia="Calibri" w:hAnsi="Garamond" w:cs="Sanskrit Text"/>
          <w:b/>
          <w:bCs/>
          <w:i/>
          <w:iCs/>
          <w:sz w:val="24"/>
          <w:szCs w:val="24"/>
        </w:rPr>
      </w:pPr>
      <w:r w:rsidRPr="001A23D9">
        <w:rPr>
          <w:rFonts w:ascii="Garamond" w:eastAsia="Calibri" w:hAnsi="Garamond" w:cs="Sanskrit Text"/>
          <w:b/>
          <w:bCs/>
          <w:i/>
          <w:iCs/>
          <w:sz w:val="24"/>
          <w:szCs w:val="24"/>
        </w:rPr>
        <w:t>Growth Estimate</w:t>
      </w:r>
      <w:r w:rsidR="000A07C5" w:rsidRPr="001A23D9">
        <w:rPr>
          <w:rFonts w:ascii="Garamond" w:eastAsia="Calibri" w:hAnsi="Garamond" w:cs="Sanskrit Text"/>
          <w:b/>
          <w:bCs/>
          <w:i/>
          <w:iCs/>
          <w:sz w:val="24"/>
          <w:szCs w:val="24"/>
        </w:rPr>
        <w:t xml:space="preserve"> (G)</w:t>
      </w:r>
    </w:p>
    <w:p w14:paraId="3C6B77B8" w14:textId="0332FF35" w:rsidR="00F1055F" w:rsidRPr="001A23D9" w:rsidRDefault="00F1055F" w:rsidP="00AC21F3">
      <w:pPr>
        <w:spacing w:after="160" w:line="259" w:lineRule="auto"/>
        <w:rPr>
          <w:rFonts w:ascii="Garamond" w:eastAsia="Calibri" w:hAnsi="Garamond" w:cs="Sanskrit Text"/>
          <w:b/>
          <w:bCs/>
          <w:sz w:val="24"/>
          <w:szCs w:val="24"/>
        </w:rPr>
      </w:pPr>
      <w:r w:rsidRPr="001A23D9">
        <w:rPr>
          <w:rFonts w:ascii="Garamond" w:eastAsia="Calibri" w:hAnsi="Garamond" w:cs="Sanskrit Text"/>
          <w:sz w:val="24"/>
          <w:szCs w:val="24"/>
        </w:rPr>
        <w:t xml:space="preserve">The </w:t>
      </w:r>
      <w:r w:rsidR="00AA52CC">
        <w:rPr>
          <w:rFonts w:ascii="Garamond" w:eastAsia="Calibri" w:hAnsi="Garamond" w:cs="Sanskrit Text"/>
          <w:sz w:val="24"/>
          <w:szCs w:val="24"/>
        </w:rPr>
        <w:t xml:space="preserve">application of the </w:t>
      </w:r>
      <w:r w:rsidRPr="001A23D9">
        <w:rPr>
          <w:rFonts w:ascii="Garamond" w:eastAsia="Calibri" w:hAnsi="Garamond" w:cs="Sanskrit Text"/>
          <w:sz w:val="24"/>
          <w:szCs w:val="24"/>
        </w:rPr>
        <w:t xml:space="preserve">growth component has traditionally been the subject of some interpretation. </w:t>
      </w:r>
      <w:r w:rsidR="00D80877" w:rsidRPr="001A23D9">
        <w:rPr>
          <w:rFonts w:ascii="Garamond" w:eastAsia="Calibri" w:hAnsi="Garamond" w:cs="Sanskrit Text"/>
          <w:sz w:val="24"/>
          <w:szCs w:val="24"/>
        </w:rPr>
        <w:t xml:space="preserve"> </w:t>
      </w:r>
      <w:r w:rsidRPr="001A23D9">
        <w:rPr>
          <w:rFonts w:ascii="Garamond" w:eastAsia="Calibri" w:hAnsi="Garamond" w:cs="Sanskrit Text"/>
          <w:sz w:val="24"/>
          <w:szCs w:val="24"/>
        </w:rPr>
        <w:t>This arises from the subjective nature of estimating a perpetual steady-state growth in dividends that the model requires.</w:t>
      </w:r>
    </w:p>
    <w:p w14:paraId="4203C426" w14:textId="77777777" w:rsidR="00FC269A" w:rsidRDefault="00FC269A" w:rsidP="00FC269A">
      <w:pPr>
        <w:spacing w:after="160" w:line="259" w:lineRule="auto"/>
        <w:rPr>
          <w:rFonts w:ascii="Garamond" w:eastAsia="Calibri" w:hAnsi="Garamond" w:cs="Sanskrit Text"/>
          <w:sz w:val="24"/>
          <w:szCs w:val="24"/>
        </w:rPr>
      </w:pPr>
    </w:p>
    <w:p w14:paraId="07139250" w14:textId="77777777" w:rsidR="00FC269A" w:rsidRDefault="00FC269A" w:rsidP="00FC269A">
      <w:pPr>
        <w:spacing w:after="160" w:line="259" w:lineRule="auto"/>
        <w:rPr>
          <w:rFonts w:ascii="Garamond" w:eastAsia="Calibri" w:hAnsi="Garamond" w:cs="Sanskrit Text"/>
          <w:sz w:val="24"/>
          <w:szCs w:val="24"/>
        </w:rPr>
      </w:pPr>
    </w:p>
    <w:p w14:paraId="0A4A69DD" w14:textId="77777777" w:rsidR="00FC269A" w:rsidRDefault="00FC269A" w:rsidP="00FC269A">
      <w:pPr>
        <w:spacing w:after="160" w:line="259" w:lineRule="auto"/>
        <w:rPr>
          <w:rFonts w:ascii="Garamond" w:eastAsia="Calibri" w:hAnsi="Garamond" w:cs="Sanskrit Text"/>
          <w:sz w:val="24"/>
          <w:szCs w:val="24"/>
        </w:rPr>
      </w:pPr>
    </w:p>
    <w:p w14:paraId="22986A95" w14:textId="77777777" w:rsidR="00FC269A" w:rsidRDefault="00FC269A" w:rsidP="00FC269A">
      <w:pPr>
        <w:spacing w:after="160" w:line="259" w:lineRule="auto"/>
        <w:rPr>
          <w:rFonts w:ascii="Garamond" w:eastAsia="Calibri" w:hAnsi="Garamond" w:cs="Sanskrit Text"/>
          <w:sz w:val="24"/>
          <w:szCs w:val="24"/>
        </w:rPr>
      </w:pPr>
    </w:p>
    <w:p w14:paraId="2953CB34" w14:textId="63CBF58F" w:rsidR="00FC269A" w:rsidRDefault="0056059E" w:rsidP="00FC269A">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Dr. Damodaran</w:t>
      </w:r>
      <w:r w:rsidR="00EB5DF1">
        <w:rPr>
          <w:rFonts w:ascii="Garamond" w:eastAsia="Calibri" w:hAnsi="Garamond" w:cs="Sanskrit Text"/>
          <w:sz w:val="24"/>
          <w:szCs w:val="24"/>
        </w:rPr>
        <w:t xml:space="preserve"> advises the following:</w:t>
      </w:r>
      <w:r w:rsidRPr="001A23D9">
        <w:rPr>
          <w:rFonts w:ascii="Garamond" w:eastAsia="Calibri" w:hAnsi="Garamond" w:cs="Sanskrit Text"/>
          <w:sz w:val="24"/>
          <w:szCs w:val="24"/>
        </w:rPr>
        <w:t xml:space="preserve"> </w:t>
      </w:r>
    </w:p>
    <w:p w14:paraId="07734844" w14:textId="4D073A48" w:rsidR="00EB5DF1" w:rsidRDefault="0056059E" w:rsidP="00FC269A">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w:t>
      </w:r>
      <w:r w:rsidR="00D35F1B" w:rsidRPr="001A23D9">
        <w:rPr>
          <w:rFonts w:ascii="Garamond" w:eastAsia="Calibri" w:hAnsi="Garamond" w:cs="Sanskrit Text"/>
          <w:sz w:val="24"/>
          <w:szCs w:val="24"/>
        </w:rPr>
        <w:t>This</w:t>
      </w:r>
      <w:r w:rsidRPr="001A23D9">
        <w:rPr>
          <w:rFonts w:ascii="Garamond" w:eastAsia="Calibri" w:hAnsi="Garamond" w:cs="Sanskrit Text"/>
          <w:sz w:val="24"/>
          <w:szCs w:val="24"/>
        </w:rPr>
        <w:t xml:space="preserve"> growth rate [in the Gordon growth model] has to be less than or equal to the growth rate of the economy in which the firm operates. No firm, no matter how well run, can be assumed to grow forever at a rate that exceeds the growth rate of the economy.</w:t>
      </w:r>
      <w:r w:rsidR="005E10BA" w:rsidRPr="001A23D9">
        <w:rPr>
          <w:rFonts w:ascii="Garamond" w:eastAsia="Calibri" w:hAnsi="Garamond" w:cs="Sanskrit Text"/>
          <w:sz w:val="24"/>
          <w:szCs w:val="24"/>
        </w:rPr>
        <w:t>”</w:t>
      </w:r>
      <w:r w:rsidRPr="001A23D9">
        <w:rPr>
          <w:rFonts w:ascii="Garamond" w:eastAsia="Calibri" w:hAnsi="Garamond" w:cs="Sanskrit Text"/>
          <w:sz w:val="24"/>
          <w:szCs w:val="24"/>
          <w:vertAlign w:val="superscript"/>
        </w:rPr>
        <w:footnoteReference w:id="12"/>
      </w:r>
      <w:r w:rsidRPr="001A23D9">
        <w:rPr>
          <w:rFonts w:ascii="Garamond" w:eastAsia="Calibri" w:hAnsi="Garamond" w:cs="Sanskrit Text"/>
          <w:sz w:val="24"/>
          <w:szCs w:val="24"/>
        </w:rPr>
        <w:t xml:space="preserve"> </w:t>
      </w:r>
    </w:p>
    <w:p w14:paraId="3C96D001" w14:textId="67045375" w:rsidR="00EB5DF1" w:rsidRDefault="0056059E" w:rsidP="00EB5DF1">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A</w:t>
      </w:r>
      <w:r w:rsidR="002100B7">
        <w:rPr>
          <w:rFonts w:ascii="Garamond" w:eastAsia="Calibri" w:hAnsi="Garamond" w:cs="Sanskrit Text"/>
          <w:sz w:val="24"/>
          <w:szCs w:val="24"/>
        </w:rPr>
        <w:t>dditionally, t</w:t>
      </w:r>
      <w:r w:rsidRPr="001A23D9">
        <w:rPr>
          <w:rFonts w:ascii="Garamond" w:eastAsia="Calibri" w:hAnsi="Garamond" w:cs="Sanskrit Text"/>
          <w:sz w:val="24"/>
          <w:szCs w:val="24"/>
        </w:rPr>
        <w:t>he CFA Institute</w:t>
      </w:r>
      <w:r w:rsidR="002100B7">
        <w:rPr>
          <w:rFonts w:ascii="Garamond" w:eastAsia="Calibri" w:hAnsi="Garamond" w:cs="Sanskrit Text"/>
          <w:sz w:val="24"/>
          <w:szCs w:val="24"/>
        </w:rPr>
        <w:t xml:space="preserve"> states:</w:t>
      </w:r>
      <w:r w:rsidRPr="001A23D9">
        <w:rPr>
          <w:rFonts w:ascii="Garamond" w:eastAsia="Calibri" w:hAnsi="Garamond" w:cs="Sanskrit Text"/>
          <w:sz w:val="24"/>
          <w:szCs w:val="24"/>
        </w:rPr>
        <w:t xml:space="preserve"> </w:t>
      </w:r>
    </w:p>
    <w:p w14:paraId="0890AD60" w14:textId="3F0E1338" w:rsidR="0056059E" w:rsidRPr="001A23D9" w:rsidRDefault="0056059E" w:rsidP="00EB5DF1">
      <w:pPr>
        <w:spacing w:after="160" w:line="259" w:lineRule="auto"/>
        <w:ind w:left="720"/>
        <w:rPr>
          <w:rFonts w:ascii="Garamond" w:eastAsia="Calibri" w:hAnsi="Garamond" w:cs="Sanskrit Text"/>
          <w:sz w:val="24"/>
          <w:szCs w:val="24"/>
        </w:rPr>
      </w:pPr>
      <w:r w:rsidRPr="001A23D9">
        <w:rPr>
          <w:rFonts w:ascii="Garamond" w:eastAsia="Calibri" w:hAnsi="Garamond" w:cs="Sanskrit Text"/>
          <w:sz w:val="24"/>
          <w:szCs w:val="24"/>
        </w:rPr>
        <w:t>“</w:t>
      </w:r>
      <w:r w:rsidR="00D35F1B" w:rsidRPr="001A23D9">
        <w:rPr>
          <w:rFonts w:ascii="Garamond" w:eastAsia="Calibri" w:hAnsi="Garamond" w:cs="Sanskrit Text"/>
          <w:sz w:val="24"/>
          <w:szCs w:val="24"/>
        </w:rPr>
        <w:t>The</w:t>
      </w:r>
      <w:r w:rsidRPr="001A23D9">
        <w:rPr>
          <w:rFonts w:ascii="Garamond" w:eastAsia="Calibri" w:hAnsi="Garamond" w:cs="Sanskrit Text"/>
          <w:sz w:val="24"/>
          <w:szCs w:val="24"/>
        </w:rPr>
        <w:t xml:space="preserve"> Gordon growth model form of the DDM [single stage DDM] is most appropriate for companies with earnings expected to grow at a rate comparable to</w:t>
      </w:r>
      <w:r w:rsidR="001E37E6" w:rsidRPr="001A23D9">
        <w:rPr>
          <w:rFonts w:ascii="Garamond" w:eastAsia="Calibri" w:hAnsi="Garamond" w:cs="Sanskrit Text"/>
          <w:sz w:val="24"/>
          <w:szCs w:val="24"/>
        </w:rPr>
        <w:t>,</w:t>
      </w:r>
      <w:r w:rsidRPr="001A23D9">
        <w:rPr>
          <w:rFonts w:ascii="Garamond" w:eastAsia="Calibri" w:hAnsi="Garamond" w:cs="Sanskrit Text"/>
          <w:sz w:val="24"/>
          <w:szCs w:val="24"/>
        </w:rPr>
        <w:t xml:space="preserve"> or lower than the economy’s nominal growth rate.</w:t>
      </w:r>
      <w:r w:rsidR="00D80877" w:rsidRPr="001A23D9">
        <w:rPr>
          <w:rFonts w:ascii="Garamond" w:eastAsia="Calibri" w:hAnsi="Garamond" w:cs="Sanskrit Text"/>
          <w:sz w:val="24"/>
          <w:szCs w:val="24"/>
        </w:rPr>
        <w:t xml:space="preserve"> </w:t>
      </w:r>
      <w:r w:rsidRPr="001A23D9">
        <w:rPr>
          <w:rFonts w:ascii="Garamond" w:eastAsia="Calibri" w:hAnsi="Garamond" w:cs="Sanskrit Text"/>
          <w:sz w:val="24"/>
          <w:szCs w:val="24"/>
        </w:rPr>
        <w:t xml:space="preserve"> Businesses growing at much higher rates than the economy often grow at lower rates in maturity, and the horizon in using the Gordon growth model is the entire future stream of dividends.</w:t>
      </w:r>
      <w:r w:rsidR="00962C10" w:rsidRPr="001A23D9">
        <w:rPr>
          <w:rFonts w:ascii="Garamond" w:eastAsia="Calibri" w:hAnsi="Garamond" w:cs="Sanskrit Text"/>
          <w:sz w:val="24"/>
          <w:szCs w:val="24"/>
        </w:rPr>
        <w:t>”</w:t>
      </w:r>
      <w:r w:rsidRPr="001A23D9">
        <w:rPr>
          <w:rFonts w:ascii="Garamond" w:eastAsia="Calibri" w:hAnsi="Garamond" w:cs="Sanskrit Text"/>
          <w:sz w:val="24"/>
          <w:szCs w:val="24"/>
          <w:vertAlign w:val="superscript"/>
        </w:rPr>
        <w:footnoteReference w:id="13"/>
      </w:r>
      <w:r w:rsidR="006B59A9" w:rsidRPr="001A23D9">
        <w:rPr>
          <w:rFonts w:ascii="Garamond" w:eastAsia="Calibri" w:hAnsi="Garamond" w:cs="Sanskrit Text"/>
          <w:sz w:val="24"/>
          <w:szCs w:val="24"/>
        </w:rPr>
        <w:t xml:space="preserve"> </w:t>
      </w:r>
    </w:p>
    <w:p w14:paraId="741C9E02" w14:textId="2E2349A7" w:rsidR="003E20CE" w:rsidRPr="001A23D9" w:rsidRDefault="003E20CE" w:rsidP="00AC21F3">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When applying the DGM model in our Idaho yield rate studies</w:t>
      </w:r>
      <w:r w:rsidR="00E42DF5">
        <w:rPr>
          <w:rFonts w:ascii="Garamond" w:eastAsia="Calibri" w:hAnsi="Garamond" w:cs="Sanskrit Text"/>
          <w:sz w:val="24"/>
          <w:szCs w:val="24"/>
        </w:rPr>
        <w:t>,</w:t>
      </w:r>
      <w:r w:rsidRPr="001A23D9">
        <w:rPr>
          <w:rFonts w:ascii="Garamond" w:eastAsia="Calibri" w:hAnsi="Garamond" w:cs="Sanskrit Text"/>
          <w:sz w:val="24"/>
          <w:szCs w:val="24"/>
        </w:rPr>
        <w:t xml:space="preserve"> we use a combination of a </w:t>
      </w:r>
      <w:r w:rsidR="001D52E5">
        <w:rPr>
          <w:rFonts w:ascii="Garamond" w:eastAsia="Calibri" w:hAnsi="Garamond" w:cs="Sanskrit Text"/>
          <w:sz w:val="24"/>
          <w:szCs w:val="24"/>
        </w:rPr>
        <w:t>near</w:t>
      </w:r>
      <w:r w:rsidRPr="001A23D9">
        <w:rPr>
          <w:rFonts w:ascii="Garamond" w:eastAsia="Calibri" w:hAnsi="Garamond" w:cs="Sanskrit Text"/>
          <w:sz w:val="24"/>
          <w:szCs w:val="24"/>
        </w:rPr>
        <w:t>-term growth estimate combined with a long-term estimate to account for the expectation of a going concern operating indefinitel</w:t>
      </w:r>
      <w:r w:rsidR="00800223" w:rsidRPr="001A23D9">
        <w:rPr>
          <w:rFonts w:ascii="Garamond" w:eastAsia="Calibri" w:hAnsi="Garamond" w:cs="Sanskrit Text"/>
          <w:sz w:val="24"/>
          <w:szCs w:val="24"/>
        </w:rPr>
        <w:t>y.</w:t>
      </w:r>
      <w:r w:rsidR="00BE1502">
        <w:rPr>
          <w:rFonts w:ascii="Garamond" w:eastAsia="Calibri" w:hAnsi="Garamond" w:cs="Sanskrit Text"/>
          <w:sz w:val="24"/>
          <w:szCs w:val="24"/>
        </w:rPr>
        <w:t xml:space="preserve"> </w:t>
      </w:r>
    </w:p>
    <w:p w14:paraId="3157F8B8" w14:textId="44E5FA31" w:rsidR="0056059E" w:rsidRPr="001A23D9" w:rsidRDefault="001D52E5" w:rsidP="00AA6A83">
      <w:pPr>
        <w:spacing w:after="0" w:line="259" w:lineRule="auto"/>
        <w:rPr>
          <w:rFonts w:ascii="Garamond" w:eastAsia="Calibri" w:hAnsi="Garamond" w:cs="Sanskrit Text"/>
          <w:b/>
          <w:bCs/>
          <w:i/>
          <w:iCs/>
          <w:sz w:val="24"/>
          <w:szCs w:val="24"/>
        </w:rPr>
      </w:pPr>
      <w:r>
        <w:rPr>
          <w:rFonts w:ascii="Garamond" w:eastAsia="Calibri" w:hAnsi="Garamond" w:cs="Sanskrit Text"/>
          <w:b/>
          <w:bCs/>
          <w:i/>
          <w:iCs/>
          <w:sz w:val="24"/>
          <w:szCs w:val="24"/>
        </w:rPr>
        <w:t>Near</w:t>
      </w:r>
      <w:r w:rsidR="0056059E" w:rsidRPr="001A23D9">
        <w:rPr>
          <w:rFonts w:ascii="Garamond" w:eastAsia="Calibri" w:hAnsi="Garamond" w:cs="Sanskrit Text"/>
          <w:b/>
          <w:bCs/>
          <w:i/>
          <w:iCs/>
          <w:sz w:val="24"/>
          <w:szCs w:val="24"/>
        </w:rPr>
        <w:t>-term Growth</w:t>
      </w:r>
    </w:p>
    <w:p w14:paraId="2DB6A8D3" w14:textId="21648538" w:rsidR="00F078C2" w:rsidRPr="001A23D9" w:rsidRDefault="0052594E" w:rsidP="00AA6A83">
      <w:pPr>
        <w:spacing w:after="160" w:line="259" w:lineRule="auto"/>
        <w:rPr>
          <w:rFonts w:ascii="Garamond" w:eastAsia="Calibri" w:hAnsi="Garamond" w:cs="Sanskrit Text"/>
          <w:b/>
          <w:bCs/>
          <w:sz w:val="24"/>
          <w:szCs w:val="24"/>
        </w:rPr>
      </w:pPr>
      <w:r w:rsidRPr="001A23D9">
        <w:rPr>
          <w:rFonts w:ascii="Garamond" w:eastAsia="Calibri" w:hAnsi="Garamond" w:cs="Sanskrit Text"/>
          <w:sz w:val="24"/>
          <w:szCs w:val="24"/>
        </w:rPr>
        <w:t xml:space="preserve">The </w:t>
      </w:r>
      <w:r w:rsidR="001D52E5">
        <w:rPr>
          <w:rFonts w:ascii="Garamond" w:eastAsia="Calibri" w:hAnsi="Garamond" w:cs="Sanskrit Text"/>
          <w:sz w:val="24"/>
          <w:szCs w:val="24"/>
        </w:rPr>
        <w:t>near</w:t>
      </w:r>
      <w:r w:rsidR="006315DC" w:rsidRPr="001A23D9">
        <w:rPr>
          <w:rFonts w:ascii="Garamond" w:eastAsia="Calibri" w:hAnsi="Garamond" w:cs="Sanskrit Text"/>
          <w:sz w:val="24"/>
          <w:szCs w:val="24"/>
        </w:rPr>
        <w:t>-</w:t>
      </w:r>
      <w:r w:rsidR="0056059E" w:rsidRPr="001A23D9">
        <w:rPr>
          <w:rFonts w:ascii="Garamond" w:eastAsia="Calibri" w:hAnsi="Garamond" w:cs="Sanskrit Text"/>
          <w:sz w:val="24"/>
          <w:szCs w:val="24"/>
        </w:rPr>
        <w:t xml:space="preserve">term growth </w:t>
      </w:r>
      <w:r w:rsidRPr="001A23D9">
        <w:rPr>
          <w:rFonts w:ascii="Garamond" w:eastAsia="Calibri" w:hAnsi="Garamond" w:cs="Sanskrit Text"/>
          <w:sz w:val="24"/>
          <w:szCs w:val="24"/>
        </w:rPr>
        <w:t xml:space="preserve">factor in our model </w:t>
      </w:r>
      <w:r w:rsidR="0056059E" w:rsidRPr="001A23D9">
        <w:rPr>
          <w:rFonts w:ascii="Garamond" w:eastAsia="Calibri" w:hAnsi="Garamond" w:cs="Sanskrit Text"/>
          <w:sz w:val="24"/>
          <w:szCs w:val="24"/>
        </w:rPr>
        <w:t xml:space="preserve">is </w:t>
      </w:r>
      <w:r w:rsidR="00ED0980" w:rsidRPr="001A23D9">
        <w:rPr>
          <w:rFonts w:ascii="Garamond" w:eastAsia="Calibri" w:hAnsi="Garamond" w:cs="Sanskrit Text"/>
          <w:sz w:val="24"/>
          <w:szCs w:val="24"/>
        </w:rPr>
        <w:t>derived</w:t>
      </w:r>
      <w:r w:rsidR="0056059E" w:rsidRPr="001A23D9">
        <w:rPr>
          <w:rFonts w:ascii="Garamond" w:eastAsia="Calibri" w:hAnsi="Garamond" w:cs="Sanskrit Text"/>
          <w:sz w:val="24"/>
          <w:szCs w:val="24"/>
        </w:rPr>
        <w:t xml:space="preserve"> from Value Line analysts’ </w:t>
      </w:r>
      <w:r w:rsidR="009612B3" w:rsidRPr="001A23D9">
        <w:rPr>
          <w:rFonts w:ascii="Garamond" w:eastAsia="Calibri" w:hAnsi="Garamond" w:cs="Sanskrit Text"/>
          <w:sz w:val="24"/>
          <w:szCs w:val="24"/>
        </w:rPr>
        <w:t xml:space="preserve">3-5 year </w:t>
      </w:r>
      <w:r w:rsidR="0056059E" w:rsidRPr="001A23D9">
        <w:rPr>
          <w:rFonts w:ascii="Garamond" w:eastAsia="Calibri" w:hAnsi="Garamond" w:cs="Sanskrit Text"/>
          <w:sz w:val="24"/>
          <w:szCs w:val="24"/>
        </w:rPr>
        <w:t xml:space="preserve">estimates of </w:t>
      </w:r>
      <w:r w:rsidR="000B2FAF" w:rsidRPr="001A23D9">
        <w:rPr>
          <w:rFonts w:ascii="Garamond" w:eastAsia="Calibri" w:hAnsi="Garamond" w:cs="Sanskrit Text"/>
          <w:sz w:val="24"/>
          <w:szCs w:val="24"/>
        </w:rPr>
        <w:t xml:space="preserve">expected </w:t>
      </w:r>
      <w:r w:rsidR="0056059E" w:rsidRPr="001A23D9">
        <w:rPr>
          <w:rFonts w:ascii="Garamond" w:eastAsia="Calibri" w:hAnsi="Garamond" w:cs="Sanskrit Text"/>
          <w:sz w:val="24"/>
          <w:szCs w:val="24"/>
        </w:rPr>
        <w:t>dividend</w:t>
      </w:r>
      <w:r w:rsidR="004C0A52" w:rsidRPr="001A23D9">
        <w:rPr>
          <w:rFonts w:ascii="Garamond" w:eastAsia="Calibri" w:hAnsi="Garamond" w:cs="Sanskrit Text"/>
          <w:sz w:val="24"/>
          <w:szCs w:val="24"/>
        </w:rPr>
        <w:t xml:space="preserve">, </w:t>
      </w:r>
      <w:r w:rsidR="0056059E" w:rsidRPr="001A23D9">
        <w:rPr>
          <w:rFonts w:ascii="Garamond" w:eastAsia="Calibri" w:hAnsi="Garamond" w:cs="Sanskrit Text"/>
          <w:sz w:val="24"/>
          <w:szCs w:val="24"/>
        </w:rPr>
        <w:t>earnings</w:t>
      </w:r>
      <w:r w:rsidR="004C0A52" w:rsidRPr="001A23D9">
        <w:rPr>
          <w:rFonts w:ascii="Garamond" w:eastAsia="Calibri" w:hAnsi="Garamond" w:cs="Sanskrit Text"/>
          <w:sz w:val="24"/>
          <w:szCs w:val="24"/>
        </w:rPr>
        <w:t>, and cash</w:t>
      </w:r>
      <w:r w:rsidR="008C36CA" w:rsidRPr="001A23D9">
        <w:rPr>
          <w:rFonts w:ascii="Garamond" w:eastAsia="Calibri" w:hAnsi="Garamond" w:cs="Sanskrit Text"/>
          <w:sz w:val="24"/>
          <w:szCs w:val="24"/>
        </w:rPr>
        <w:t xml:space="preserve"> </w:t>
      </w:r>
      <w:r w:rsidR="004C0A52" w:rsidRPr="001A23D9">
        <w:rPr>
          <w:rFonts w:ascii="Garamond" w:eastAsia="Calibri" w:hAnsi="Garamond" w:cs="Sanskrit Text"/>
          <w:sz w:val="24"/>
          <w:szCs w:val="24"/>
        </w:rPr>
        <w:t>flow</w:t>
      </w:r>
      <w:r w:rsidR="0056059E" w:rsidRPr="001A23D9">
        <w:rPr>
          <w:rFonts w:ascii="Garamond" w:eastAsia="Calibri" w:hAnsi="Garamond" w:cs="Sanskrit Text"/>
          <w:sz w:val="24"/>
          <w:szCs w:val="24"/>
        </w:rPr>
        <w:t xml:space="preserve"> growth</w:t>
      </w:r>
      <w:r w:rsidR="00507479">
        <w:rPr>
          <w:rFonts w:ascii="Garamond" w:eastAsia="Calibri" w:hAnsi="Garamond" w:cs="Sanskrit Text"/>
          <w:sz w:val="24"/>
          <w:szCs w:val="24"/>
        </w:rPr>
        <w:t xml:space="preserve"> for each guideline company</w:t>
      </w:r>
      <w:r w:rsidR="0056059E" w:rsidRPr="001A23D9">
        <w:rPr>
          <w:rFonts w:ascii="Garamond" w:eastAsia="Calibri" w:hAnsi="Garamond" w:cs="Sanskrit Text"/>
          <w:sz w:val="24"/>
          <w:szCs w:val="24"/>
        </w:rPr>
        <w:t>.</w:t>
      </w:r>
      <w:r w:rsidR="00507479">
        <w:rPr>
          <w:rFonts w:ascii="Garamond" w:eastAsia="Calibri" w:hAnsi="Garamond" w:cs="Sanskrit Text"/>
          <w:sz w:val="24"/>
          <w:szCs w:val="24"/>
        </w:rPr>
        <w:t xml:space="preserve">  Consequently, </w:t>
      </w:r>
      <w:r w:rsidR="001D52E5">
        <w:rPr>
          <w:rFonts w:ascii="Garamond" w:eastAsia="Calibri" w:hAnsi="Garamond" w:cs="Sanskrit Text"/>
          <w:sz w:val="24"/>
          <w:szCs w:val="24"/>
        </w:rPr>
        <w:t>the average</w:t>
      </w:r>
      <w:r w:rsidR="00507479">
        <w:rPr>
          <w:rFonts w:ascii="Garamond" w:eastAsia="Calibri" w:hAnsi="Garamond" w:cs="Sanskrit Text"/>
          <w:sz w:val="24"/>
          <w:szCs w:val="24"/>
        </w:rPr>
        <w:t xml:space="preserve"> </w:t>
      </w:r>
      <w:r w:rsidR="001D52E5">
        <w:rPr>
          <w:rFonts w:ascii="Garamond" w:eastAsia="Calibri" w:hAnsi="Garamond" w:cs="Sanskrit Text"/>
          <w:sz w:val="24"/>
          <w:szCs w:val="24"/>
        </w:rPr>
        <w:t>near</w:t>
      </w:r>
      <w:r w:rsidR="002755D4">
        <w:rPr>
          <w:rFonts w:ascii="Garamond" w:eastAsia="Calibri" w:hAnsi="Garamond" w:cs="Sanskrit Text"/>
          <w:sz w:val="24"/>
          <w:szCs w:val="24"/>
        </w:rPr>
        <w:t xml:space="preserve">-term </w:t>
      </w:r>
      <w:r w:rsidR="00507479">
        <w:rPr>
          <w:rFonts w:ascii="Garamond" w:eastAsia="Calibri" w:hAnsi="Garamond" w:cs="Sanskrit Text"/>
          <w:sz w:val="24"/>
          <w:szCs w:val="24"/>
        </w:rPr>
        <w:t>growth rate is different for each industry.</w:t>
      </w:r>
    </w:p>
    <w:p w14:paraId="2E1CA0DF" w14:textId="030D3BAA" w:rsidR="0056059E" w:rsidRPr="001A23D9" w:rsidRDefault="0056059E" w:rsidP="00AA6A83">
      <w:pPr>
        <w:spacing w:after="0" w:line="259" w:lineRule="auto"/>
        <w:rPr>
          <w:rFonts w:ascii="Garamond" w:eastAsia="Calibri" w:hAnsi="Garamond" w:cs="Sanskrit Text"/>
          <w:b/>
          <w:bCs/>
          <w:i/>
          <w:iCs/>
          <w:sz w:val="24"/>
          <w:szCs w:val="24"/>
        </w:rPr>
      </w:pPr>
      <w:r w:rsidRPr="001A23D9">
        <w:rPr>
          <w:rFonts w:ascii="Garamond" w:eastAsia="Calibri" w:hAnsi="Garamond" w:cs="Sanskrit Text"/>
          <w:b/>
          <w:bCs/>
          <w:i/>
          <w:iCs/>
          <w:sz w:val="24"/>
          <w:szCs w:val="24"/>
        </w:rPr>
        <w:t>Long-term Growth</w:t>
      </w:r>
    </w:p>
    <w:p w14:paraId="6ECF3B50" w14:textId="751B29E6" w:rsidR="002755D4" w:rsidRDefault="0052594E" w:rsidP="00AC21F3">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We use </w:t>
      </w:r>
      <w:r w:rsidR="000D5689" w:rsidRPr="001A23D9">
        <w:rPr>
          <w:rFonts w:ascii="Garamond" w:eastAsia="Calibri" w:hAnsi="Garamond" w:cs="Sanskrit Text"/>
          <w:sz w:val="24"/>
          <w:szCs w:val="24"/>
        </w:rPr>
        <w:t xml:space="preserve">projected </w:t>
      </w:r>
      <w:r w:rsidRPr="001A23D9">
        <w:rPr>
          <w:rFonts w:ascii="Garamond" w:eastAsia="Calibri" w:hAnsi="Garamond" w:cs="Sanskrit Text"/>
          <w:sz w:val="24"/>
          <w:szCs w:val="24"/>
        </w:rPr>
        <w:t>nominal GDP growth of the US economy as a proxy f</w:t>
      </w:r>
      <w:r w:rsidR="0056059E" w:rsidRPr="001A23D9">
        <w:rPr>
          <w:rFonts w:ascii="Garamond" w:eastAsia="Calibri" w:hAnsi="Garamond" w:cs="Sanskrit Text"/>
          <w:sz w:val="24"/>
          <w:szCs w:val="24"/>
        </w:rPr>
        <w:t>or long</w:t>
      </w:r>
      <w:r w:rsidR="00EC03E3" w:rsidRPr="001A23D9">
        <w:rPr>
          <w:rFonts w:ascii="Garamond" w:eastAsia="Calibri" w:hAnsi="Garamond" w:cs="Sanskrit Text"/>
          <w:sz w:val="24"/>
          <w:szCs w:val="24"/>
        </w:rPr>
        <w:t>-</w:t>
      </w:r>
      <w:r w:rsidR="0056059E" w:rsidRPr="001A23D9">
        <w:rPr>
          <w:rFonts w:ascii="Garamond" w:eastAsia="Calibri" w:hAnsi="Garamond" w:cs="Sanskrit Text"/>
          <w:sz w:val="24"/>
          <w:szCs w:val="24"/>
        </w:rPr>
        <w:t>term growth</w:t>
      </w:r>
      <w:r w:rsidRPr="001A23D9">
        <w:rPr>
          <w:rFonts w:ascii="Garamond" w:eastAsia="Calibri" w:hAnsi="Garamond" w:cs="Sanskrit Text"/>
          <w:sz w:val="24"/>
          <w:szCs w:val="24"/>
        </w:rPr>
        <w:t xml:space="preserve">.  This rate includes both </w:t>
      </w:r>
      <w:r w:rsidR="00EC03E3" w:rsidRPr="001A23D9">
        <w:rPr>
          <w:rFonts w:ascii="Garamond" w:eastAsia="Calibri" w:hAnsi="Garamond" w:cs="Sanskrit Text"/>
          <w:sz w:val="24"/>
          <w:szCs w:val="24"/>
        </w:rPr>
        <w:t xml:space="preserve">a </w:t>
      </w:r>
      <w:r w:rsidRPr="001A23D9">
        <w:rPr>
          <w:rFonts w:ascii="Garamond" w:eastAsia="Calibri" w:hAnsi="Garamond" w:cs="Sanskrit Text"/>
          <w:sz w:val="24"/>
          <w:szCs w:val="24"/>
        </w:rPr>
        <w:t>real GDP growth</w:t>
      </w:r>
      <w:r w:rsidR="00EC03E3" w:rsidRPr="001A23D9">
        <w:rPr>
          <w:rFonts w:ascii="Garamond" w:eastAsia="Calibri" w:hAnsi="Garamond" w:cs="Sanskrit Text"/>
          <w:sz w:val="24"/>
          <w:szCs w:val="24"/>
        </w:rPr>
        <w:t xml:space="preserve"> factor</w:t>
      </w:r>
      <w:r w:rsidRPr="001A23D9">
        <w:rPr>
          <w:rFonts w:ascii="Garamond" w:eastAsia="Calibri" w:hAnsi="Garamond" w:cs="Sanskrit Text"/>
          <w:sz w:val="24"/>
          <w:szCs w:val="24"/>
        </w:rPr>
        <w:t xml:space="preserve"> and an inflation component.  We view </w:t>
      </w:r>
      <w:r w:rsidR="00EC03E3" w:rsidRPr="001A23D9">
        <w:rPr>
          <w:rFonts w:ascii="Garamond" w:eastAsia="Calibri" w:hAnsi="Garamond" w:cs="Sanskrit Text"/>
          <w:sz w:val="24"/>
          <w:szCs w:val="24"/>
        </w:rPr>
        <w:t xml:space="preserve">this </w:t>
      </w:r>
      <w:r w:rsidRPr="001A23D9">
        <w:rPr>
          <w:rFonts w:ascii="Garamond" w:eastAsia="Calibri" w:hAnsi="Garamond" w:cs="Sanskrit Text"/>
          <w:sz w:val="24"/>
          <w:szCs w:val="24"/>
        </w:rPr>
        <w:t xml:space="preserve">as a conservative estimate </w:t>
      </w:r>
      <w:r w:rsidR="009612B3" w:rsidRPr="001A23D9">
        <w:rPr>
          <w:rFonts w:ascii="Garamond" w:eastAsia="Calibri" w:hAnsi="Garamond" w:cs="Sanskrit Text"/>
          <w:sz w:val="24"/>
          <w:szCs w:val="24"/>
        </w:rPr>
        <w:t xml:space="preserve">for the reasons stated </w:t>
      </w:r>
      <w:r w:rsidR="00E42DF5" w:rsidRPr="001A23D9">
        <w:rPr>
          <w:rFonts w:ascii="Garamond" w:eastAsia="Calibri" w:hAnsi="Garamond" w:cs="Sanskrit Text"/>
          <w:sz w:val="24"/>
          <w:szCs w:val="24"/>
        </w:rPr>
        <w:t xml:space="preserve">above </w:t>
      </w:r>
      <w:r w:rsidR="009612B3" w:rsidRPr="001A23D9">
        <w:rPr>
          <w:rFonts w:ascii="Garamond" w:eastAsia="Calibri" w:hAnsi="Garamond" w:cs="Sanskrit Text"/>
          <w:sz w:val="24"/>
          <w:szCs w:val="24"/>
        </w:rPr>
        <w:t>by Dr. Damodaran.</w:t>
      </w:r>
      <w:r w:rsidR="00507479">
        <w:rPr>
          <w:rFonts w:ascii="Garamond" w:eastAsia="Calibri" w:hAnsi="Garamond" w:cs="Sanskrit Text"/>
          <w:sz w:val="24"/>
          <w:szCs w:val="24"/>
        </w:rPr>
        <w:t xml:space="preserve">  </w:t>
      </w:r>
    </w:p>
    <w:p w14:paraId="1B5461B5" w14:textId="153BA0AB" w:rsidR="0056059E" w:rsidRPr="001A23D9" w:rsidRDefault="00507479" w:rsidP="00AC21F3">
      <w:pPr>
        <w:spacing w:after="160" w:line="259" w:lineRule="auto"/>
        <w:rPr>
          <w:rFonts w:ascii="Garamond" w:eastAsia="Calibri" w:hAnsi="Garamond" w:cs="Sanskrit Text"/>
          <w:sz w:val="24"/>
          <w:szCs w:val="24"/>
        </w:rPr>
      </w:pPr>
      <w:r>
        <w:rPr>
          <w:rFonts w:ascii="Garamond" w:eastAsia="Calibri" w:hAnsi="Garamond" w:cs="Sanskrit Text"/>
          <w:sz w:val="24"/>
          <w:szCs w:val="24"/>
        </w:rPr>
        <w:t xml:space="preserve">The long-term growth rate applied in </w:t>
      </w:r>
      <w:r w:rsidR="00BE1502">
        <w:rPr>
          <w:rFonts w:ascii="Garamond" w:eastAsia="Calibri" w:hAnsi="Garamond" w:cs="Sanskrit Text"/>
          <w:sz w:val="24"/>
          <w:szCs w:val="24"/>
        </w:rPr>
        <w:t xml:space="preserve">all of </w:t>
      </w:r>
      <w:r>
        <w:rPr>
          <w:rFonts w:ascii="Garamond" w:eastAsia="Calibri" w:hAnsi="Garamond" w:cs="Sanskrit Text"/>
          <w:sz w:val="24"/>
          <w:szCs w:val="24"/>
        </w:rPr>
        <w:t xml:space="preserve">our </w:t>
      </w:r>
      <w:r w:rsidR="00BE1502">
        <w:rPr>
          <w:rFonts w:ascii="Garamond" w:eastAsia="Calibri" w:hAnsi="Garamond" w:cs="Sanskrit Text"/>
          <w:sz w:val="24"/>
          <w:szCs w:val="24"/>
        </w:rPr>
        <w:t xml:space="preserve">multi-stage </w:t>
      </w:r>
      <w:r>
        <w:rPr>
          <w:rFonts w:ascii="Garamond" w:eastAsia="Calibri" w:hAnsi="Garamond" w:cs="Sanskrit Text"/>
          <w:sz w:val="24"/>
          <w:szCs w:val="24"/>
        </w:rPr>
        <w:t xml:space="preserve">DGM models this year was calculated to be </w:t>
      </w:r>
      <w:r w:rsidRPr="00507479">
        <w:rPr>
          <w:rFonts w:ascii="Garamond" w:eastAsia="Calibri" w:hAnsi="Garamond" w:cs="Sanskrit Text"/>
          <w:b/>
          <w:bCs/>
          <w:sz w:val="24"/>
          <w:szCs w:val="24"/>
        </w:rPr>
        <w:t>4.</w:t>
      </w:r>
      <w:r w:rsidR="00AA52CC">
        <w:rPr>
          <w:rFonts w:ascii="Garamond" w:eastAsia="Calibri" w:hAnsi="Garamond" w:cs="Sanskrit Text"/>
          <w:b/>
          <w:bCs/>
          <w:sz w:val="24"/>
          <w:szCs w:val="24"/>
        </w:rPr>
        <w:t>28</w:t>
      </w:r>
      <w:r w:rsidRPr="00507479">
        <w:rPr>
          <w:rFonts w:ascii="Garamond" w:eastAsia="Calibri" w:hAnsi="Garamond" w:cs="Sanskrit Text"/>
          <w:b/>
          <w:bCs/>
          <w:sz w:val="24"/>
          <w:szCs w:val="24"/>
        </w:rPr>
        <w:t>%.</w:t>
      </w:r>
    </w:p>
    <w:p w14:paraId="35E5BD70" w14:textId="09426EB1" w:rsidR="0056059E" w:rsidRPr="001A23D9" w:rsidRDefault="004717B0" w:rsidP="00AC21F3">
      <w:pPr>
        <w:spacing w:after="160" w:line="259" w:lineRule="auto"/>
        <w:rPr>
          <w:rFonts w:ascii="Garamond" w:eastAsia="Calibri" w:hAnsi="Garamond" w:cs="Sanskrit Text"/>
          <w:b/>
          <w:bCs/>
          <w:sz w:val="24"/>
          <w:szCs w:val="24"/>
          <w:u w:val="single"/>
        </w:rPr>
      </w:pPr>
      <w:r w:rsidRPr="001A23D9">
        <w:rPr>
          <w:rFonts w:ascii="Garamond" w:eastAsia="Calibri" w:hAnsi="Garamond" w:cs="Sanskrit Text"/>
          <w:b/>
          <w:bCs/>
          <w:sz w:val="24"/>
          <w:szCs w:val="24"/>
          <w:u w:val="single"/>
        </w:rPr>
        <w:t>RECONCILING THE EQUITY MODELS</w:t>
      </w:r>
    </w:p>
    <w:p w14:paraId="49A13845" w14:textId="57717EFF" w:rsidR="0056059E" w:rsidRPr="001A23D9" w:rsidRDefault="0056059E" w:rsidP="00AC21F3">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There is no specific formula or process </w:t>
      </w:r>
      <w:r w:rsidR="00F30722" w:rsidRPr="001A23D9">
        <w:rPr>
          <w:rFonts w:ascii="Garamond" w:eastAsia="Calibri" w:hAnsi="Garamond" w:cs="Sanskrit Text"/>
          <w:sz w:val="24"/>
          <w:szCs w:val="24"/>
        </w:rPr>
        <w:t>for</w:t>
      </w:r>
      <w:r w:rsidRPr="001A23D9">
        <w:rPr>
          <w:rFonts w:ascii="Garamond" w:eastAsia="Calibri" w:hAnsi="Garamond" w:cs="Sanskrit Text"/>
          <w:sz w:val="24"/>
          <w:szCs w:val="24"/>
        </w:rPr>
        <w:t xml:space="preserve"> </w:t>
      </w:r>
      <w:r w:rsidR="00D01812" w:rsidRPr="001A23D9">
        <w:rPr>
          <w:rFonts w:ascii="Garamond" w:eastAsia="Calibri" w:hAnsi="Garamond" w:cs="Sanskrit Text"/>
          <w:sz w:val="24"/>
          <w:szCs w:val="24"/>
        </w:rPr>
        <w:t>reconciling</w:t>
      </w:r>
      <w:r w:rsidRPr="001A23D9">
        <w:rPr>
          <w:rFonts w:ascii="Garamond" w:eastAsia="Calibri" w:hAnsi="Garamond" w:cs="Sanskrit Text"/>
          <w:sz w:val="24"/>
          <w:szCs w:val="24"/>
        </w:rPr>
        <w:t xml:space="preserve"> the </w:t>
      </w:r>
      <w:r w:rsidR="00ED0980" w:rsidRPr="001A23D9">
        <w:rPr>
          <w:rFonts w:ascii="Garamond" w:eastAsia="Calibri" w:hAnsi="Garamond" w:cs="Sanskrit Text"/>
          <w:sz w:val="24"/>
          <w:szCs w:val="24"/>
        </w:rPr>
        <w:t>estimates of the market cost of equity</w:t>
      </w:r>
      <w:r w:rsidR="008F38F0">
        <w:rPr>
          <w:rFonts w:ascii="Garamond" w:eastAsia="Calibri" w:hAnsi="Garamond" w:cs="Sanskrit Text"/>
          <w:sz w:val="24"/>
          <w:szCs w:val="24"/>
        </w:rPr>
        <w:t xml:space="preserve"> derived from the CAPM and DGM models. </w:t>
      </w:r>
      <w:r w:rsidR="003C0ECA" w:rsidRPr="001A23D9">
        <w:rPr>
          <w:rFonts w:ascii="Garamond" w:eastAsia="Calibri" w:hAnsi="Garamond" w:cs="Sanskrit Text"/>
          <w:sz w:val="24"/>
          <w:szCs w:val="24"/>
        </w:rPr>
        <w:t>This process does not involve</w:t>
      </w:r>
      <w:r w:rsidRPr="001A23D9">
        <w:rPr>
          <w:rFonts w:ascii="Garamond" w:eastAsia="Calibri" w:hAnsi="Garamond" w:cs="Sanskrit Text"/>
          <w:sz w:val="24"/>
          <w:szCs w:val="24"/>
        </w:rPr>
        <w:t xml:space="preserve"> a simple averaging</w:t>
      </w:r>
      <w:r w:rsidR="00091A85" w:rsidRPr="001A23D9">
        <w:rPr>
          <w:rFonts w:ascii="Garamond" w:eastAsia="Calibri" w:hAnsi="Garamond" w:cs="Sanskrit Text"/>
          <w:sz w:val="24"/>
          <w:szCs w:val="24"/>
        </w:rPr>
        <w:t xml:space="preserve"> of</w:t>
      </w:r>
      <w:r w:rsidRPr="001A23D9">
        <w:rPr>
          <w:rFonts w:ascii="Garamond" w:eastAsia="Calibri" w:hAnsi="Garamond" w:cs="Sanskrit Text"/>
          <w:sz w:val="24"/>
          <w:szCs w:val="24"/>
        </w:rPr>
        <w:t xml:space="preserve"> the different </w:t>
      </w:r>
      <w:r w:rsidR="001E37E6" w:rsidRPr="001A23D9">
        <w:rPr>
          <w:rFonts w:ascii="Garamond" w:eastAsia="Calibri" w:hAnsi="Garamond" w:cs="Sanskrit Text"/>
          <w:sz w:val="24"/>
          <w:szCs w:val="24"/>
        </w:rPr>
        <w:t>estimates but</w:t>
      </w:r>
      <w:r w:rsidR="000D5689" w:rsidRPr="001A23D9">
        <w:rPr>
          <w:rFonts w:ascii="Garamond" w:eastAsia="Calibri" w:hAnsi="Garamond" w:cs="Sanskrit Text"/>
          <w:sz w:val="24"/>
          <w:szCs w:val="24"/>
        </w:rPr>
        <w:t xml:space="preserve"> does require</w:t>
      </w:r>
      <w:r w:rsidRPr="001A23D9">
        <w:rPr>
          <w:rFonts w:ascii="Garamond" w:eastAsia="Calibri" w:hAnsi="Garamond" w:cs="Sanskrit Text"/>
          <w:sz w:val="24"/>
          <w:szCs w:val="24"/>
        </w:rPr>
        <w:t xml:space="preserve"> careful consideration of which model would be most appropriate to estimate the cost of equity for </w:t>
      </w:r>
      <w:r w:rsidR="00091A85" w:rsidRPr="001A23D9">
        <w:rPr>
          <w:rFonts w:ascii="Garamond" w:eastAsia="Calibri" w:hAnsi="Garamond" w:cs="Sanskrit Text"/>
          <w:sz w:val="24"/>
          <w:szCs w:val="24"/>
        </w:rPr>
        <w:t>a</w:t>
      </w:r>
      <w:r w:rsidRPr="001A23D9">
        <w:rPr>
          <w:rFonts w:ascii="Garamond" w:eastAsia="Calibri" w:hAnsi="Garamond" w:cs="Sanskrit Text"/>
          <w:sz w:val="24"/>
          <w:szCs w:val="24"/>
        </w:rPr>
        <w:t xml:space="preserve"> given industry. </w:t>
      </w:r>
      <w:r w:rsidR="00D80877" w:rsidRPr="001A23D9">
        <w:rPr>
          <w:rFonts w:ascii="Garamond" w:eastAsia="Calibri" w:hAnsi="Garamond" w:cs="Sanskrit Text"/>
          <w:sz w:val="24"/>
          <w:szCs w:val="24"/>
        </w:rPr>
        <w:t xml:space="preserve"> </w:t>
      </w:r>
      <w:r w:rsidRPr="001A23D9">
        <w:rPr>
          <w:rFonts w:ascii="Garamond" w:eastAsia="Calibri" w:hAnsi="Garamond" w:cs="Sanskrit Text"/>
          <w:sz w:val="24"/>
          <w:szCs w:val="24"/>
        </w:rPr>
        <w:t xml:space="preserve">It should also be consistent with the capitalization technique selected using informed judgement. </w:t>
      </w:r>
    </w:p>
    <w:p w14:paraId="15D2C607" w14:textId="1ACD5121" w:rsidR="007C3349" w:rsidRPr="001A23D9" w:rsidRDefault="004717B0" w:rsidP="00AC21F3">
      <w:pPr>
        <w:spacing w:after="160" w:line="259" w:lineRule="auto"/>
        <w:rPr>
          <w:rFonts w:ascii="Garamond" w:eastAsia="Calibri" w:hAnsi="Garamond" w:cs="Sanskrit Text"/>
          <w:b/>
          <w:bCs/>
          <w:color w:val="000000"/>
          <w:sz w:val="24"/>
          <w:szCs w:val="24"/>
          <w:u w:val="single"/>
        </w:rPr>
      </w:pPr>
      <w:r w:rsidRPr="001A23D9">
        <w:rPr>
          <w:rFonts w:ascii="Garamond" w:eastAsia="Calibri" w:hAnsi="Garamond" w:cs="Sanskrit Text"/>
          <w:b/>
          <w:bCs/>
          <w:color w:val="000000"/>
          <w:sz w:val="24"/>
          <w:szCs w:val="24"/>
          <w:u w:val="single"/>
        </w:rPr>
        <w:t>BAND OF INVESTMENT</w:t>
      </w:r>
    </w:p>
    <w:p w14:paraId="6BCA8C10" w14:textId="1EFE3E59" w:rsidR="009161D7" w:rsidRPr="001A23D9" w:rsidRDefault="007C3349" w:rsidP="00AC21F3">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As the final step in developing the </w:t>
      </w:r>
      <w:r w:rsidR="008F38F0">
        <w:rPr>
          <w:rFonts w:ascii="Garamond" w:eastAsia="Calibri" w:hAnsi="Garamond" w:cs="Sanskrit Text"/>
          <w:sz w:val="24"/>
          <w:szCs w:val="24"/>
        </w:rPr>
        <w:t>w</w:t>
      </w:r>
      <w:r w:rsidR="00ED0980" w:rsidRPr="001A23D9">
        <w:rPr>
          <w:rFonts w:ascii="Garamond" w:eastAsia="Calibri" w:hAnsi="Garamond" w:cs="Sanskrit Text"/>
          <w:sz w:val="24"/>
          <w:szCs w:val="24"/>
        </w:rPr>
        <w:t xml:space="preserve">eighted </w:t>
      </w:r>
      <w:r w:rsidR="008F38F0">
        <w:rPr>
          <w:rFonts w:ascii="Garamond" w:eastAsia="Calibri" w:hAnsi="Garamond" w:cs="Sanskrit Text"/>
          <w:sz w:val="24"/>
          <w:szCs w:val="24"/>
        </w:rPr>
        <w:t>a</w:t>
      </w:r>
      <w:r w:rsidR="00ED0980" w:rsidRPr="001A23D9">
        <w:rPr>
          <w:rFonts w:ascii="Garamond" w:eastAsia="Calibri" w:hAnsi="Garamond" w:cs="Sanskrit Text"/>
          <w:sz w:val="24"/>
          <w:szCs w:val="24"/>
        </w:rPr>
        <w:t xml:space="preserve">verage </w:t>
      </w:r>
      <w:r w:rsidR="008F38F0">
        <w:rPr>
          <w:rFonts w:ascii="Garamond" w:eastAsia="Calibri" w:hAnsi="Garamond" w:cs="Sanskrit Text"/>
          <w:sz w:val="24"/>
          <w:szCs w:val="24"/>
        </w:rPr>
        <w:t>c</w:t>
      </w:r>
      <w:r w:rsidR="00ED0980" w:rsidRPr="001A23D9">
        <w:rPr>
          <w:rFonts w:ascii="Garamond" w:eastAsia="Calibri" w:hAnsi="Garamond" w:cs="Sanskrit Text"/>
          <w:sz w:val="24"/>
          <w:szCs w:val="24"/>
        </w:rPr>
        <w:t xml:space="preserve">ost of </w:t>
      </w:r>
      <w:r w:rsidR="008F38F0">
        <w:rPr>
          <w:rFonts w:ascii="Garamond" w:eastAsia="Calibri" w:hAnsi="Garamond" w:cs="Sanskrit Text"/>
          <w:sz w:val="24"/>
          <w:szCs w:val="24"/>
        </w:rPr>
        <w:t>c</w:t>
      </w:r>
      <w:r w:rsidR="00ED0980" w:rsidRPr="001A23D9">
        <w:rPr>
          <w:rFonts w:ascii="Garamond" w:eastAsia="Calibri" w:hAnsi="Garamond" w:cs="Sanskrit Text"/>
          <w:sz w:val="24"/>
          <w:szCs w:val="24"/>
        </w:rPr>
        <w:t xml:space="preserve">apital (WACC) for </w:t>
      </w:r>
      <w:r w:rsidR="00BE1502">
        <w:rPr>
          <w:rFonts w:ascii="Garamond" w:eastAsia="Calibri" w:hAnsi="Garamond" w:cs="Sanskrit Text"/>
          <w:sz w:val="24"/>
          <w:szCs w:val="24"/>
        </w:rPr>
        <w:t>a</w:t>
      </w:r>
      <w:r w:rsidR="00ED0980" w:rsidRPr="001A23D9">
        <w:rPr>
          <w:rFonts w:ascii="Garamond" w:eastAsia="Calibri" w:hAnsi="Garamond" w:cs="Sanskrit Text"/>
          <w:sz w:val="24"/>
          <w:szCs w:val="24"/>
        </w:rPr>
        <w:t xml:space="preserve"> subject industry</w:t>
      </w:r>
      <w:r w:rsidRPr="001A23D9">
        <w:rPr>
          <w:rFonts w:ascii="Garamond" w:eastAsia="Calibri" w:hAnsi="Garamond" w:cs="Sanskrit Text"/>
          <w:sz w:val="24"/>
          <w:szCs w:val="24"/>
        </w:rPr>
        <w:t xml:space="preserve">, </w:t>
      </w:r>
      <w:r w:rsidR="00ED0980" w:rsidRPr="001A23D9">
        <w:rPr>
          <w:rFonts w:ascii="Garamond" w:eastAsia="Calibri" w:hAnsi="Garamond" w:cs="Sanskrit Text"/>
          <w:sz w:val="24"/>
          <w:szCs w:val="24"/>
        </w:rPr>
        <w:t>staff appraisers</w:t>
      </w:r>
      <w:r w:rsidRPr="001A23D9">
        <w:rPr>
          <w:rFonts w:ascii="Garamond" w:eastAsia="Calibri" w:hAnsi="Garamond" w:cs="Sanskrit Text"/>
          <w:sz w:val="24"/>
          <w:szCs w:val="24"/>
        </w:rPr>
        <w:t xml:space="preserve"> </w:t>
      </w:r>
      <w:r w:rsidR="00ED0980" w:rsidRPr="001A23D9">
        <w:rPr>
          <w:rFonts w:ascii="Garamond" w:eastAsia="Calibri" w:hAnsi="Garamond" w:cs="Sanskrit Text"/>
          <w:sz w:val="24"/>
          <w:szCs w:val="24"/>
        </w:rPr>
        <w:t>use</w:t>
      </w:r>
      <w:r w:rsidRPr="001A23D9">
        <w:rPr>
          <w:rFonts w:ascii="Garamond" w:eastAsia="Calibri" w:hAnsi="Garamond" w:cs="Sanskrit Text"/>
          <w:sz w:val="24"/>
          <w:szCs w:val="24"/>
        </w:rPr>
        <w:t xml:space="preserve"> what is known as </w:t>
      </w:r>
      <w:r w:rsidR="00E42DF5">
        <w:rPr>
          <w:rFonts w:ascii="Garamond" w:eastAsia="Calibri" w:hAnsi="Garamond" w:cs="Sanskrit Text"/>
          <w:sz w:val="24"/>
          <w:szCs w:val="24"/>
        </w:rPr>
        <w:t>the</w:t>
      </w:r>
      <w:r w:rsidRPr="001A23D9">
        <w:rPr>
          <w:rFonts w:ascii="Garamond" w:eastAsia="Calibri" w:hAnsi="Garamond" w:cs="Sanskrit Text"/>
          <w:sz w:val="24"/>
          <w:szCs w:val="24"/>
        </w:rPr>
        <w:t xml:space="preserve"> </w:t>
      </w:r>
      <w:r w:rsidR="009E308E">
        <w:rPr>
          <w:rFonts w:ascii="Garamond" w:eastAsia="Calibri" w:hAnsi="Garamond" w:cs="Sanskrit Text"/>
          <w:sz w:val="24"/>
          <w:szCs w:val="24"/>
        </w:rPr>
        <w:t>b</w:t>
      </w:r>
      <w:r w:rsidRPr="001A23D9">
        <w:rPr>
          <w:rFonts w:ascii="Garamond" w:eastAsia="Calibri" w:hAnsi="Garamond" w:cs="Sanskrit Text"/>
          <w:sz w:val="24"/>
          <w:szCs w:val="24"/>
        </w:rPr>
        <w:t xml:space="preserve">and of </w:t>
      </w:r>
      <w:r w:rsidR="009E308E">
        <w:rPr>
          <w:rFonts w:ascii="Garamond" w:eastAsia="Calibri" w:hAnsi="Garamond" w:cs="Sanskrit Text"/>
          <w:sz w:val="24"/>
          <w:szCs w:val="24"/>
        </w:rPr>
        <w:t>i</w:t>
      </w:r>
      <w:r w:rsidRPr="001A23D9">
        <w:rPr>
          <w:rFonts w:ascii="Garamond" w:eastAsia="Calibri" w:hAnsi="Garamond" w:cs="Sanskrit Text"/>
          <w:sz w:val="24"/>
          <w:szCs w:val="24"/>
        </w:rPr>
        <w:t xml:space="preserve">nvestment technique.  This technique involves </w:t>
      </w:r>
      <w:r w:rsidRPr="001A23D9">
        <w:rPr>
          <w:rFonts w:ascii="Garamond" w:eastAsia="Calibri" w:hAnsi="Garamond" w:cs="Sanskrit Text"/>
          <w:sz w:val="24"/>
          <w:szCs w:val="24"/>
        </w:rPr>
        <w:lastRenderedPageBreak/>
        <w:t xml:space="preserve">stratifying the </w:t>
      </w:r>
      <w:r w:rsidR="00D01812" w:rsidRPr="001A23D9">
        <w:rPr>
          <w:rFonts w:ascii="Garamond" w:eastAsia="Calibri" w:hAnsi="Garamond" w:cs="Sanskrit Text"/>
          <w:sz w:val="24"/>
          <w:szCs w:val="24"/>
        </w:rPr>
        <w:t xml:space="preserve">selected </w:t>
      </w:r>
      <w:r w:rsidRPr="001A23D9">
        <w:rPr>
          <w:rFonts w:ascii="Garamond" w:eastAsia="Calibri" w:hAnsi="Garamond" w:cs="Sanskrit Text"/>
          <w:sz w:val="24"/>
          <w:szCs w:val="24"/>
        </w:rPr>
        <w:t>market cost of debt and market cost of equity into bands</w:t>
      </w:r>
      <w:r w:rsidR="00034055" w:rsidRPr="001A23D9">
        <w:rPr>
          <w:rFonts w:ascii="Garamond" w:eastAsia="Calibri" w:hAnsi="Garamond" w:cs="Sanskrit Text"/>
          <w:sz w:val="24"/>
          <w:szCs w:val="24"/>
        </w:rPr>
        <w:t xml:space="preserve"> of</w:t>
      </w:r>
      <w:r w:rsidRPr="001A23D9">
        <w:rPr>
          <w:rFonts w:ascii="Garamond" w:eastAsia="Calibri" w:hAnsi="Garamond" w:cs="Sanskrit Text"/>
          <w:sz w:val="24"/>
          <w:szCs w:val="24"/>
        </w:rPr>
        <w:t xml:space="preserve"> investment and </w:t>
      </w:r>
      <w:r w:rsidR="00AE489E" w:rsidRPr="001A23D9">
        <w:rPr>
          <w:rFonts w:ascii="Garamond" w:eastAsia="Calibri" w:hAnsi="Garamond" w:cs="Sanskrit Text"/>
          <w:sz w:val="24"/>
          <w:szCs w:val="24"/>
        </w:rPr>
        <w:t>weighing</w:t>
      </w:r>
      <w:r w:rsidRPr="001A23D9">
        <w:rPr>
          <w:rFonts w:ascii="Garamond" w:eastAsia="Calibri" w:hAnsi="Garamond" w:cs="Sanskrit Text"/>
          <w:sz w:val="24"/>
          <w:szCs w:val="24"/>
        </w:rPr>
        <w:t xml:space="preserve"> each proportionally based on </w:t>
      </w:r>
      <w:r w:rsidR="00034055" w:rsidRPr="001A23D9">
        <w:rPr>
          <w:rFonts w:ascii="Garamond" w:eastAsia="Calibri" w:hAnsi="Garamond" w:cs="Sanskrit Text"/>
          <w:sz w:val="24"/>
          <w:szCs w:val="24"/>
        </w:rPr>
        <w:t xml:space="preserve">the </w:t>
      </w:r>
      <w:r w:rsidR="009E308E">
        <w:rPr>
          <w:rFonts w:ascii="Garamond" w:eastAsia="Calibri" w:hAnsi="Garamond" w:cs="Sanskrit Text"/>
          <w:sz w:val="24"/>
          <w:szCs w:val="24"/>
        </w:rPr>
        <w:t>optimal</w:t>
      </w:r>
      <w:r w:rsidR="00AE5B8A" w:rsidRPr="001A23D9">
        <w:rPr>
          <w:rFonts w:ascii="Garamond" w:eastAsia="Calibri" w:hAnsi="Garamond" w:cs="Sanskrit Text"/>
          <w:sz w:val="24"/>
          <w:szCs w:val="24"/>
        </w:rPr>
        <w:t xml:space="preserve"> capital structure</w:t>
      </w:r>
      <w:r w:rsidR="000B2FAF" w:rsidRPr="001A23D9">
        <w:rPr>
          <w:rFonts w:ascii="Garamond" w:eastAsia="Calibri" w:hAnsi="Garamond" w:cs="Sanskrit Text"/>
          <w:sz w:val="24"/>
          <w:szCs w:val="24"/>
        </w:rPr>
        <w:t xml:space="preserve"> employed</w:t>
      </w:r>
      <w:r w:rsidR="00AE5B8A" w:rsidRPr="001A23D9">
        <w:rPr>
          <w:rFonts w:ascii="Garamond" w:eastAsia="Calibri" w:hAnsi="Garamond" w:cs="Sanskrit Text"/>
          <w:sz w:val="24"/>
          <w:szCs w:val="24"/>
        </w:rPr>
        <w:t xml:space="preserve"> in the subject industry</w:t>
      </w:r>
      <w:r w:rsidR="00BF397A" w:rsidRPr="001A23D9">
        <w:rPr>
          <w:rFonts w:ascii="Garamond" w:eastAsia="Calibri" w:hAnsi="Garamond" w:cs="Sanskrit Text"/>
          <w:sz w:val="24"/>
          <w:szCs w:val="24"/>
        </w:rPr>
        <w:t>.</w:t>
      </w:r>
    </w:p>
    <w:p w14:paraId="5203AD32" w14:textId="091CCD72" w:rsidR="007C3349" w:rsidRPr="00955150" w:rsidRDefault="00D817B5" w:rsidP="00526FA6">
      <w:pPr>
        <w:spacing w:after="0" w:line="259" w:lineRule="auto"/>
        <w:rPr>
          <w:rFonts w:ascii="Garamond" w:eastAsia="Calibri" w:hAnsi="Garamond" w:cs="Sanskrit Text"/>
          <w:sz w:val="24"/>
          <w:szCs w:val="24"/>
        </w:rPr>
      </w:pPr>
      <w:r w:rsidRPr="00955150">
        <w:rPr>
          <w:rFonts w:ascii="Garamond" w:eastAsia="Calibri" w:hAnsi="Garamond" w:cs="Sanskrit Text"/>
          <w:sz w:val="24"/>
          <w:szCs w:val="24"/>
        </w:rPr>
        <w:t>T</w:t>
      </w:r>
      <w:r w:rsidR="007C3349" w:rsidRPr="00955150">
        <w:rPr>
          <w:rFonts w:ascii="Garamond" w:eastAsia="Calibri" w:hAnsi="Garamond" w:cs="Sanskrit Text"/>
          <w:sz w:val="24"/>
          <w:szCs w:val="24"/>
        </w:rPr>
        <w:t xml:space="preserve">he </w:t>
      </w:r>
      <w:r w:rsidR="00AE5B8A" w:rsidRPr="00955150">
        <w:rPr>
          <w:rFonts w:ascii="Garamond" w:eastAsia="Calibri" w:hAnsi="Garamond" w:cs="Sanskrit Text"/>
          <w:sz w:val="24"/>
          <w:szCs w:val="24"/>
        </w:rPr>
        <w:t>B</w:t>
      </w:r>
      <w:r w:rsidR="007C3349" w:rsidRPr="00955150">
        <w:rPr>
          <w:rFonts w:ascii="Garamond" w:eastAsia="Calibri" w:hAnsi="Garamond" w:cs="Sanskrit Text"/>
          <w:sz w:val="24"/>
          <w:szCs w:val="24"/>
        </w:rPr>
        <w:t xml:space="preserve">and of </w:t>
      </w:r>
      <w:r w:rsidR="00AE5B8A" w:rsidRPr="00955150">
        <w:rPr>
          <w:rFonts w:ascii="Garamond" w:eastAsia="Calibri" w:hAnsi="Garamond" w:cs="Sanskrit Text"/>
          <w:sz w:val="24"/>
          <w:szCs w:val="24"/>
        </w:rPr>
        <w:t>I</w:t>
      </w:r>
      <w:r w:rsidR="007C3349" w:rsidRPr="00955150">
        <w:rPr>
          <w:rFonts w:ascii="Garamond" w:eastAsia="Calibri" w:hAnsi="Garamond" w:cs="Sanskrit Text"/>
          <w:sz w:val="24"/>
          <w:szCs w:val="24"/>
        </w:rPr>
        <w:t>nvestment technique is shown in the example below:</w:t>
      </w:r>
    </w:p>
    <w:tbl>
      <w:tblPr>
        <w:tblW w:w="8868" w:type="dxa"/>
        <w:jc w:val="center"/>
        <w:tblLayout w:type="fixed"/>
        <w:tblLook w:val="04A0" w:firstRow="1" w:lastRow="0" w:firstColumn="1" w:lastColumn="0" w:noHBand="0" w:noVBand="1"/>
      </w:tblPr>
      <w:tblGrid>
        <w:gridCol w:w="2302"/>
        <w:gridCol w:w="265"/>
        <w:gridCol w:w="2307"/>
        <w:gridCol w:w="265"/>
        <w:gridCol w:w="1511"/>
        <w:gridCol w:w="265"/>
        <w:gridCol w:w="1953"/>
      </w:tblGrid>
      <w:tr w:rsidR="0073190C" w:rsidRPr="00955150" w14:paraId="300C25D0" w14:textId="77777777" w:rsidTr="003A6E31">
        <w:trPr>
          <w:trHeight w:val="390"/>
          <w:jc w:val="center"/>
        </w:trPr>
        <w:tc>
          <w:tcPr>
            <w:tcW w:w="2302" w:type="dxa"/>
            <w:shd w:val="clear" w:color="auto" w:fill="auto"/>
            <w:vAlign w:val="bottom"/>
            <w:hideMark/>
          </w:tcPr>
          <w:p w14:paraId="7CEDA6C5" w14:textId="77777777" w:rsidR="0073190C" w:rsidRPr="00526FA6" w:rsidRDefault="0073190C" w:rsidP="003A6E31">
            <w:pPr>
              <w:spacing w:after="0" w:line="240" w:lineRule="auto"/>
              <w:jc w:val="center"/>
              <w:rPr>
                <w:rFonts w:ascii="Garamond" w:eastAsia="Times New Roman" w:hAnsi="Garamond" w:cs="Sanskrit Text"/>
                <w:u w:val="single"/>
              </w:rPr>
            </w:pPr>
            <w:r w:rsidRPr="00526FA6">
              <w:rPr>
                <w:rFonts w:ascii="Garamond" w:eastAsia="Times New Roman" w:hAnsi="Garamond" w:cs="Sanskrit Text"/>
                <w:u w:val="single"/>
              </w:rPr>
              <w:t>Capital Components</w:t>
            </w:r>
          </w:p>
        </w:tc>
        <w:tc>
          <w:tcPr>
            <w:tcW w:w="265" w:type="dxa"/>
            <w:shd w:val="clear" w:color="auto" w:fill="auto"/>
            <w:vAlign w:val="bottom"/>
            <w:hideMark/>
          </w:tcPr>
          <w:p w14:paraId="4423E18E" w14:textId="77777777" w:rsidR="0073190C" w:rsidRPr="00526FA6" w:rsidRDefault="0073190C" w:rsidP="003A6E31">
            <w:pPr>
              <w:spacing w:after="0" w:line="240" w:lineRule="auto"/>
              <w:rPr>
                <w:rFonts w:ascii="Garamond" w:eastAsia="Times New Roman" w:hAnsi="Garamond" w:cs="Sanskrit Text"/>
              </w:rPr>
            </w:pPr>
          </w:p>
        </w:tc>
        <w:tc>
          <w:tcPr>
            <w:tcW w:w="2307" w:type="dxa"/>
            <w:shd w:val="clear" w:color="auto" w:fill="auto"/>
            <w:noWrap/>
            <w:vAlign w:val="bottom"/>
            <w:hideMark/>
          </w:tcPr>
          <w:p w14:paraId="2F90E685" w14:textId="77777777" w:rsidR="0073190C" w:rsidRPr="00526FA6" w:rsidRDefault="0073190C" w:rsidP="003A6E31">
            <w:pPr>
              <w:spacing w:after="0" w:line="240" w:lineRule="auto"/>
              <w:jc w:val="center"/>
              <w:rPr>
                <w:rFonts w:ascii="Garamond" w:eastAsia="Times New Roman" w:hAnsi="Garamond" w:cs="Sanskrit Text"/>
                <w:u w:val="single"/>
              </w:rPr>
            </w:pPr>
            <w:r w:rsidRPr="00526FA6">
              <w:rPr>
                <w:rFonts w:ascii="Garamond" w:eastAsia="Times New Roman" w:hAnsi="Garamond" w:cs="Sanskrit Text"/>
                <w:u w:val="single"/>
              </w:rPr>
              <w:t>Capital Structure</w:t>
            </w:r>
          </w:p>
        </w:tc>
        <w:tc>
          <w:tcPr>
            <w:tcW w:w="265" w:type="dxa"/>
            <w:shd w:val="clear" w:color="auto" w:fill="auto"/>
            <w:noWrap/>
            <w:vAlign w:val="bottom"/>
          </w:tcPr>
          <w:p w14:paraId="64E83F4D" w14:textId="77777777" w:rsidR="0073190C" w:rsidRPr="00526FA6" w:rsidRDefault="0073190C" w:rsidP="003A6E31">
            <w:pPr>
              <w:spacing w:after="0" w:line="240" w:lineRule="auto"/>
              <w:jc w:val="center"/>
              <w:rPr>
                <w:rFonts w:ascii="Garamond" w:eastAsia="Times New Roman" w:hAnsi="Garamond" w:cs="Sanskrit Text"/>
              </w:rPr>
            </w:pPr>
          </w:p>
        </w:tc>
        <w:tc>
          <w:tcPr>
            <w:tcW w:w="1511" w:type="dxa"/>
            <w:shd w:val="clear" w:color="auto" w:fill="auto"/>
            <w:noWrap/>
            <w:vAlign w:val="bottom"/>
          </w:tcPr>
          <w:p w14:paraId="3CD155A6" w14:textId="77777777" w:rsidR="0073190C" w:rsidRPr="00526FA6" w:rsidRDefault="0073190C" w:rsidP="003A6E31">
            <w:pPr>
              <w:spacing w:after="0" w:line="240" w:lineRule="auto"/>
              <w:jc w:val="center"/>
              <w:rPr>
                <w:rFonts w:ascii="Garamond" w:eastAsia="Times New Roman" w:hAnsi="Garamond" w:cs="Sanskrit Text"/>
                <w:u w:val="single"/>
              </w:rPr>
            </w:pPr>
            <w:r w:rsidRPr="00526FA6">
              <w:rPr>
                <w:rFonts w:ascii="Garamond" w:eastAsia="Times New Roman" w:hAnsi="Garamond" w:cs="Sanskrit Text"/>
                <w:u w:val="single"/>
              </w:rPr>
              <w:t>Market Cost</w:t>
            </w:r>
          </w:p>
        </w:tc>
        <w:tc>
          <w:tcPr>
            <w:tcW w:w="265" w:type="dxa"/>
            <w:shd w:val="clear" w:color="auto" w:fill="auto"/>
            <w:noWrap/>
            <w:vAlign w:val="bottom"/>
          </w:tcPr>
          <w:p w14:paraId="45CF91A1" w14:textId="77777777" w:rsidR="0073190C" w:rsidRPr="00526FA6" w:rsidRDefault="0073190C" w:rsidP="003A6E31">
            <w:pPr>
              <w:spacing w:after="0" w:line="240" w:lineRule="auto"/>
              <w:jc w:val="center"/>
              <w:rPr>
                <w:rFonts w:ascii="Garamond" w:eastAsia="Times New Roman" w:hAnsi="Garamond" w:cs="Sanskrit Text"/>
                <w:b/>
                <w:bCs/>
              </w:rPr>
            </w:pPr>
          </w:p>
        </w:tc>
        <w:tc>
          <w:tcPr>
            <w:tcW w:w="1953" w:type="dxa"/>
            <w:shd w:val="clear" w:color="auto" w:fill="auto"/>
            <w:noWrap/>
            <w:vAlign w:val="bottom"/>
          </w:tcPr>
          <w:p w14:paraId="47129C8A" w14:textId="77777777" w:rsidR="0073190C" w:rsidRPr="00526FA6" w:rsidRDefault="0073190C" w:rsidP="003A6E31">
            <w:pPr>
              <w:spacing w:after="0" w:line="240" w:lineRule="auto"/>
              <w:jc w:val="center"/>
              <w:rPr>
                <w:rFonts w:ascii="Garamond" w:eastAsia="Times New Roman" w:hAnsi="Garamond" w:cs="Sanskrit Text"/>
                <w:u w:val="single"/>
              </w:rPr>
            </w:pPr>
            <w:r w:rsidRPr="00526FA6">
              <w:rPr>
                <w:rFonts w:ascii="Garamond" w:eastAsia="Times New Roman" w:hAnsi="Garamond" w:cs="Sanskrit Text"/>
                <w:u w:val="single"/>
              </w:rPr>
              <w:t>Weighted Rate</w:t>
            </w:r>
          </w:p>
        </w:tc>
      </w:tr>
      <w:tr w:rsidR="0073190C" w:rsidRPr="00955150" w14:paraId="2D8CE43C" w14:textId="77777777" w:rsidTr="003A6E31">
        <w:trPr>
          <w:trHeight w:val="508"/>
          <w:jc w:val="center"/>
        </w:trPr>
        <w:tc>
          <w:tcPr>
            <w:tcW w:w="2302" w:type="dxa"/>
            <w:shd w:val="clear" w:color="auto" w:fill="auto"/>
            <w:noWrap/>
            <w:vAlign w:val="bottom"/>
            <w:hideMark/>
          </w:tcPr>
          <w:p w14:paraId="5D136192" w14:textId="77777777" w:rsidR="0073190C" w:rsidRPr="00526FA6" w:rsidRDefault="0073190C" w:rsidP="003A6E31">
            <w:pPr>
              <w:spacing w:after="0" w:line="240" w:lineRule="auto"/>
              <w:rPr>
                <w:rFonts w:ascii="Garamond" w:eastAsia="Times New Roman" w:hAnsi="Garamond" w:cs="Sanskrit Text"/>
              </w:rPr>
            </w:pPr>
            <w:r w:rsidRPr="00526FA6">
              <w:rPr>
                <w:rFonts w:ascii="Garamond" w:eastAsia="Times New Roman" w:hAnsi="Garamond" w:cs="Sanskrit Text"/>
              </w:rPr>
              <w:t> Debt</w:t>
            </w:r>
          </w:p>
        </w:tc>
        <w:tc>
          <w:tcPr>
            <w:tcW w:w="265" w:type="dxa"/>
            <w:shd w:val="clear" w:color="auto" w:fill="auto"/>
            <w:noWrap/>
            <w:vAlign w:val="bottom"/>
            <w:hideMark/>
          </w:tcPr>
          <w:p w14:paraId="4B93030B" w14:textId="77777777" w:rsidR="0073190C" w:rsidRPr="00526FA6" w:rsidRDefault="0073190C" w:rsidP="003A6E31">
            <w:pPr>
              <w:spacing w:after="0" w:line="240" w:lineRule="auto"/>
              <w:rPr>
                <w:rFonts w:ascii="Garamond" w:eastAsia="Times New Roman" w:hAnsi="Garamond" w:cs="Sanskrit Text"/>
              </w:rPr>
            </w:pPr>
          </w:p>
        </w:tc>
        <w:tc>
          <w:tcPr>
            <w:tcW w:w="2307" w:type="dxa"/>
            <w:shd w:val="clear" w:color="auto" w:fill="auto"/>
            <w:noWrap/>
            <w:vAlign w:val="bottom"/>
            <w:hideMark/>
          </w:tcPr>
          <w:p w14:paraId="61E89124" w14:textId="77777777" w:rsidR="0073190C" w:rsidRPr="00526FA6" w:rsidRDefault="0073190C" w:rsidP="003A6E31">
            <w:pPr>
              <w:spacing w:after="0" w:line="240" w:lineRule="auto"/>
              <w:jc w:val="center"/>
              <w:rPr>
                <w:rFonts w:ascii="Garamond" w:eastAsia="Times New Roman" w:hAnsi="Garamond" w:cs="Sanskrit Text"/>
              </w:rPr>
            </w:pPr>
            <w:r w:rsidRPr="00526FA6">
              <w:rPr>
                <w:rFonts w:ascii="Garamond" w:eastAsia="Times New Roman" w:hAnsi="Garamond" w:cs="Sanskrit Text"/>
              </w:rPr>
              <w:t>40%</w:t>
            </w:r>
          </w:p>
        </w:tc>
        <w:tc>
          <w:tcPr>
            <w:tcW w:w="265" w:type="dxa"/>
            <w:shd w:val="clear" w:color="auto" w:fill="auto"/>
            <w:noWrap/>
            <w:tcMar>
              <w:left w:w="0" w:type="dxa"/>
              <w:right w:w="0" w:type="dxa"/>
            </w:tcMar>
            <w:vAlign w:val="bottom"/>
          </w:tcPr>
          <w:p w14:paraId="3214EB3E" w14:textId="77777777" w:rsidR="0073190C" w:rsidRPr="00526FA6" w:rsidRDefault="0073190C" w:rsidP="003A6E31">
            <w:pPr>
              <w:spacing w:after="0" w:line="240" w:lineRule="auto"/>
              <w:jc w:val="center"/>
              <w:rPr>
                <w:rFonts w:ascii="Garamond" w:eastAsia="Times New Roman" w:hAnsi="Garamond" w:cs="Sanskrit Text"/>
              </w:rPr>
            </w:pPr>
            <w:r w:rsidRPr="00526FA6">
              <w:rPr>
                <w:rFonts w:ascii="Garamond" w:eastAsia="Times New Roman" w:hAnsi="Garamond" w:cs="Sanskrit Text"/>
              </w:rPr>
              <w:t>x</w:t>
            </w:r>
          </w:p>
        </w:tc>
        <w:tc>
          <w:tcPr>
            <w:tcW w:w="1511" w:type="dxa"/>
            <w:shd w:val="clear" w:color="auto" w:fill="auto"/>
            <w:noWrap/>
            <w:vAlign w:val="bottom"/>
            <w:hideMark/>
          </w:tcPr>
          <w:p w14:paraId="67918934" w14:textId="77777777" w:rsidR="0073190C" w:rsidRPr="00526FA6" w:rsidRDefault="0073190C" w:rsidP="003A6E31">
            <w:pPr>
              <w:spacing w:after="0" w:line="240" w:lineRule="auto"/>
              <w:jc w:val="center"/>
              <w:rPr>
                <w:rFonts w:ascii="Garamond" w:eastAsia="Times New Roman" w:hAnsi="Garamond" w:cs="Sanskrit Text"/>
              </w:rPr>
            </w:pPr>
            <w:r w:rsidRPr="00526FA6">
              <w:rPr>
                <w:rFonts w:ascii="Garamond" w:eastAsia="Times New Roman" w:hAnsi="Garamond" w:cs="Sanskrit Text"/>
              </w:rPr>
              <w:t>5.0%</w:t>
            </w:r>
          </w:p>
        </w:tc>
        <w:tc>
          <w:tcPr>
            <w:tcW w:w="265" w:type="dxa"/>
            <w:shd w:val="clear" w:color="auto" w:fill="auto"/>
            <w:noWrap/>
            <w:tcMar>
              <w:left w:w="0" w:type="dxa"/>
              <w:right w:w="0" w:type="dxa"/>
            </w:tcMar>
            <w:vAlign w:val="bottom"/>
            <w:hideMark/>
          </w:tcPr>
          <w:p w14:paraId="55498E5E" w14:textId="77777777" w:rsidR="0073190C" w:rsidRPr="00526FA6" w:rsidRDefault="0073190C" w:rsidP="003A6E31">
            <w:pPr>
              <w:spacing w:after="0" w:line="240" w:lineRule="auto"/>
              <w:jc w:val="center"/>
              <w:rPr>
                <w:rFonts w:ascii="Garamond" w:eastAsia="Times New Roman" w:hAnsi="Garamond" w:cs="Sanskrit Text"/>
              </w:rPr>
            </w:pPr>
            <w:r w:rsidRPr="00526FA6">
              <w:rPr>
                <w:rFonts w:ascii="Garamond" w:eastAsia="Times New Roman" w:hAnsi="Garamond" w:cs="Sanskrit Text"/>
              </w:rPr>
              <w:t>=</w:t>
            </w:r>
          </w:p>
        </w:tc>
        <w:tc>
          <w:tcPr>
            <w:tcW w:w="1953" w:type="dxa"/>
            <w:shd w:val="clear" w:color="auto" w:fill="auto"/>
            <w:noWrap/>
            <w:vAlign w:val="bottom"/>
            <w:hideMark/>
          </w:tcPr>
          <w:p w14:paraId="01E79D5F" w14:textId="77777777" w:rsidR="0073190C" w:rsidRPr="00526FA6" w:rsidRDefault="0073190C" w:rsidP="003A6E31">
            <w:pPr>
              <w:spacing w:after="0" w:line="240" w:lineRule="auto"/>
              <w:jc w:val="center"/>
              <w:rPr>
                <w:rFonts w:ascii="Garamond" w:eastAsia="Times New Roman" w:hAnsi="Garamond" w:cs="Sanskrit Text"/>
              </w:rPr>
            </w:pPr>
            <w:r w:rsidRPr="00526FA6">
              <w:rPr>
                <w:rFonts w:ascii="Garamond" w:eastAsia="Times New Roman" w:hAnsi="Garamond" w:cs="Sanskrit Text"/>
              </w:rPr>
              <w:t>2.0%</w:t>
            </w:r>
          </w:p>
        </w:tc>
      </w:tr>
      <w:tr w:rsidR="0073190C" w:rsidRPr="00955150" w14:paraId="761B9CF4" w14:textId="77777777" w:rsidTr="003A6E31">
        <w:trPr>
          <w:trHeight w:val="525"/>
          <w:jc w:val="center"/>
        </w:trPr>
        <w:tc>
          <w:tcPr>
            <w:tcW w:w="2302" w:type="dxa"/>
            <w:shd w:val="clear" w:color="auto" w:fill="auto"/>
            <w:vAlign w:val="bottom"/>
            <w:hideMark/>
          </w:tcPr>
          <w:p w14:paraId="111C9769" w14:textId="77777777" w:rsidR="0073190C" w:rsidRPr="00526FA6" w:rsidRDefault="0073190C" w:rsidP="003A6E31">
            <w:pPr>
              <w:spacing w:after="0" w:line="240" w:lineRule="auto"/>
              <w:rPr>
                <w:rFonts w:ascii="Garamond" w:eastAsia="Times New Roman" w:hAnsi="Garamond" w:cs="Sanskrit Text"/>
              </w:rPr>
            </w:pPr>
            <w:r w:rsidRPr="00526FA6">
              <w:rPr>
                <w:rFonts w:ascii="Garamond" w:eastAsia="Times New Roman" w:hAnsi="Garamond" w:cs="Sanskrit Text"/>
              </w:rPr>
              <w:t xml:space="preserve"> Equity</w:t>
            </w:r>
          </w:p>
        </w:tc>
        <w:tc>
          <w:tcPr>
            <w:tcW w:w="265" w:type="dxa"/>
            <w:shd w:val="clear" w:color="auto" w:fill="auto"/>
            <w:vAlign w:val="bottom"/>
            <w:hideMark/>
          </w:tcPr>
          <w:p w14:paraId="10E957D0" w14:textId="77777777" w:rsidR="0073190C" w:rsidRPr="00526FA6" w:rsidRDefault="0073190C" w:rsidP="003A6E31">
            <w:pPr>
              <w:spacing w:after="0" w:line="240" w:lineRule="auto"/>
              <w:rPr>
                <w:rFonts w:ascii="Garamond" w:eastAsia="Times New Roman" w:hAnsi="Garamond" w:cs="Sanskrit Text"/>
              </w:rPr>
            </w:pPr>
          </w:p>
        </w:tc>
        <w:tc>
          <w:tcPr>
            <w:tcW w:w="2307" w:type="dxa"/>
            <w:shd w:val="clear" w:color="auto" w:fill="auto"/>
            <w:noWrap/>
            <w:vAlign w:val="bottom"/>
            <w:hideMark/>
          </w:tcPr>
          <w:p w14:paraId="62DA70AC" w14:textId="77777777" w:rsidR="0073190C" w:rsidRPr="00526FA6" w:rsidRDefault="0073190C" w:rsidP="003A6E31">
            <w:pPr>
              <w:spacing w:after="0" w:line="240" w:lineRule="auto"/>
              <w:jc w:val="center"/>
              <w:rPr>
                <w:rFonts w:ascii="Garamond" w:eastAsia="Times New Roman" w:hAnsi="Garamond" w:cs="Sanskrit Text"/>
              </w:rPr>
            </w:pPr>
            <w:r w:rsidRPr="00526FA6">
              <w:rPr>
                <w:rFonts w:ascii="Garamond" w:eastAsia="Times New Roman" w:hAnsi="Garamond" w:cs="Sanskrit Text"/>
              </w:rPr>
              <w:t>60%</w:t>
            </w:r>
          </w:p>
        </w:tc>
        <w:tc>
          <w:tcPr>
            <w:tcW w:w="265" w:type="dxa"/>
            <w:shd w:val="clear" w:color="auto" w:fill="auto"/>
            <w:noWrap/>
            <w:tcMar>
              <w:left w:w="0" w:type="dxa"/>
              <w:right w:w="0" w:type="dxa"/>
            </w:tcMar>
            <w:vAlign w:val="bottom"/>
            <w:hideMark/>
          </w:tcPr>
          <w:p w14:paraId="71215378" w14:textId="77777777" w:rsidR="0073190C" w:rsidRPr="00526FA6" w:rsidRDefault="0073190C" w:rsidP="003A6E31">
            <w:pPr>
              <w:spacing w:after="0" w:line="240" w:lineRule="auto"/>
              <w:jc w:val="center"/>
              <w:rPr>
                <w:rFonts w:ascii="Garamond" w:eastAsia="Times New Roman" w:hAnsi="Garamond" w:cs="Sanskrit Text"/>
              </w:rPr>
            </w:pPr>
            <w:r w:rsidRPr="00526FA6">
              <w:rPr>
                <w:rFonts w:ascii="Garamond" w:eastAsia="Times New Roman" w:hAnsi="Garamond" w:cs="Sanskrit Text"/>
              </w:rPr>
              <w:t>x</w:t>
            </w:r>
          </w:p>
        </w:tc>
        <w:tc>
          <w:tcPr>
            <w:tcW w:w="1511" w:type="dxa"/>
            <w:shd w:val="clear" w:color="auto" w:fill="auto"/>
            <w:noWrap/>
            <w:vAlign w:val="bottom"/>
            <w:hideMark/>
          </w:tcPr>
          <w:p w14:paraId="268C0C65" w14:textId="77777777" w:rsidR="0073190C" w:rsidRPr="00526FA6" w:rsidRDefault="0073190C" w:rsidP="003A6E31">
            <w:pPr>
              <w:spacing w:after="0" w:line="240" w:lineRule="auto"/>
              <w:jc w:val="center"/>
              <w:rPr>
                <w:rFonts w:ascii="Garamond" w:eastAsia="Times New Roman" w:hAnsi="Garamond" w:cs="Sanskrit Text"/>
              </w:rPr>
            </w:pPr>
            <w:r w:rsidRPr="00526FA6">
              <w:rPr>
                <w:rFonts w:ascii="Garamond" w:eastAsia="Times New Roman" w:hAnsi="Garamond" w:cs="Sanskrit Text"/>
              </w:rPr>
              <w:t>9.0%</w:t>
            </w:r>
          </w:p>
        </w:tc>
        <w:tc>
          <w:tcPr>
            <w:tcW w:w="265" w:type="dxa"/>
            <w:shd w:val="clear" w:color="auto" w:fill="auto"/>
            <w:noWrap/>
            <w:tcMar>
              <w:left w:w="0" w:type="dxa"/>
              <w:right w:w="0" w:type="dxa"/>
            </w:tcMar>
            <w:vAlign w:val="bottom"/>
            <w:hideMark/>
          </w:tcPr>
          <w:p w14:paraId="65C44473" w14:textId="77777777" w:rsidR="0073190C" w:rsidRPr="00526FA6" w:rsidRDefault="0073190C" w:rsidP="003A6E31">
            <w:pPr>
              <w:spacing w:after="0" w:line="240" w:lineRule="auto"/>
              <w:jc w:val="center"/>
              <w:rPr>
                <w:rFonts w:ascii="Garamond" w:eastAsia="Times New Roman" w:hAnsi="Garamond" w:cs="Sanskrit Text"/>
                <w:b/>
                <w:bCs/>
              </w:rPr>
            </w:pPr>
            <w:r w:rsidRPr="00526FA6">
              <w:rPr>
                <w:rFonts w:ascii="Garamond" w:eastAsia="Times New Roman" w:hAnsi="Garamond" w:cs="Sanskrit Text"/>
                <w:b/>
                <w:bCs/>
              </w:rPr>
              <w:t>=</w:t>
            </w:r>
          </w:p>
        </w:tc>
        <w:tc>
          <w:tcPr>
            <w:tcW w:w="1953" w:type="dxa"/>
            <w:shd w:val="clear" w:color="auto" w:fill="auto"/>
            <w:noWrap/>
            <w:vAlign w:val="bottom"/>
            <w:hideMark/>
          </w:tcPr>
          <w:p w14:paraId="3582CDBD" w14:textId="77777777" w:rsidR="0073190C" w:rsidRPr="00526FA6" w:rsidRDefault="0073190C" w:rsidP="003A6E31">
            <w:pPr>
              <w:spacing w:after="0" w:line="240" w:lineRule="auto"/>
              <w:jc w:val="center"/>
              <w:rPr>
                <w:rFonts w:ascii="Garamond" w:eastAsia="Times New Roman" w:hAnsi="Garamond" w:cs="Sanskrit Text"/>
                <w:u w:val="single"/>
              </w:rPr>
            </w:pPr>
            <w:r w:rsidRPr="00526FA6">
              <w:rPr>
                <w:rFonts w:ascii="Garamond" w:eastAsia="Times New Roman" w:hAnsi="Garamond" w:cs="Sanskrit Text"/>
                <w:u w:val="single"/>
              </w:rPr>
              <w:t>5.4%</w:t>
            </w:r>
          </w:p>
        </w:tc>
      </w:tr>
      <w:tr w:rsidR="0073190C" w:rsidRPr="00955150" w14:paraId="28DD0422" w14:textId="77777777" w:rsidTr="003A6E31">
        <w:trPr>
          <w:trHeight w:val="511"/>
          <w:jc w:val="center"/>
        </w:trPr>
        <w:tc>
          <w:tcPr>
            <w:tcW w:w="6650" w:type="dxa"/>
            <w:gridSpan w:val="5"/>
            <w:shd w:val="clear" w:color="auto" w:fill="auto"/>
            <w:noWrap/>
            <w:vAlign w:val="bottom"/>
          </w:tcPr>
          <w:p w14:paraId="1C613FEB" w14:textId="77777777" w:rsidR="0073190C" w:rsidRPr="00526FA6" w:rsidRDefault="0073190C" w:rsidP="003A6E31">
            <w:pPr>
              <w:spacing w:after="0" w:line="240" w:lineRule="auto"/>
              <w:rPr>
                <w:rFonts w:ascii="Garamond" w:eastAsia="Times New Roman" w:hAnsi="Garamond" w:cs="Sanskrit Text"/>
                <w:color w:val="000000"/>
              </w:rPr>
            </w:pPr>
            <w:r w:rsidRPr="00526FA6">
              <w:rPr>
                <w:rFonts w:ascii="Garamond" w:eastAsia="Times New Roman" w:hAnsi="Garamond" w:cs="Sanskrit Text"/>
                <w:color w:val="000000"/>
              </w:rPr>
              <w:t>Weighted Average Cost of Capital (WACC)</w:t>
            </w:r>
          </w:p>
        </w:tc>
        <w:tc>
          <w:tcPr>
            <w:tcW w:w="265" w:type="dxa"/>
            <w:shd w:val="clear" w:color="auto" w:fill="auto"/>
            <w:noWrap/>
            <w:tcMar>
              <w:left w:w="0" w:type="dxa"/>
              <w:right w:w="0" w:type="dxa"/>
            </w:tcMar>
            <w:vAlign w:val="bottom"/>
          </w:tcPr>
          <w:p w14:paraId="59DDD6D6" w14:textId="77777777" w:rsidR="0073190C" w:rsidRPr="00526FA6" w:rsidRDefault="0073190C" w:rsidP="003A6E31">
            <w:pPr>
              <w:spacing w:after="0" w:line="240" w:lineRule="auto"/>
              <w:jc w:val="center"/>
              <w:rPr>
                <w:rFonts w:ascii="Garamond" w:eastAsia="Times New Roman" w:hAnsi="Garamond" w:cs="Sanskrit Text"/>
                <w:color w:val="000000"/>
              </w:rPr>
            </w:pPr>
            <w:r w:rsidRPr="00526FA6">
              <w:rPr>
                <w:rFonts w:ascii="Garamond" w:eastAsia="Times New Roman" w:hAnsi="Garamond" w:cs="Sanskrit Text"/>
                <w:color w:val="000000"/>
              </w:rPr>
              <w:t>=</w:t>
            </w:r>
          </w:p>
        </w:tc>
        <w:tc>
          <w:tcPr>
            <w:tcW w:w="1953" w:type="dxa"/>
            <w:shd w:val="clear" w:color="auto" w:fill="auto"/>
            <w:noWrap/>
            <w:vAlign w:val="bottom"/>
          </w:tcPr>
          <w:p w14:paraId="2E87BFFC" w14:textId="77777777" w:rsidR="0073190C" w:rsidRPr="00526FA6" w:rsidRDefault="0073190C" w:rsidP="003A6E31">
            <w:pPr>
              <w:spacing w:after="0" w:line="240" w:lineRule="auto"/>
              <w:jc w:val="center"/>
              <w:rPr>
                <w:rFonts w:ascii="Garamond" w:eastAsia="Times New Roman" w:hAnsi="Garamond" w:cs="Sanskrit Text"/>
              </w:rPr>
            </w:pPr>
            <w:r w:rsidRPr="00526FA6">
              <w:rPr>
                <w:rFonts w:ascii="Garamond" w:eastAsia="Times New Roman" w:hAnsi="Garamond" w:cs="Sanskrit Text"/>
              </w:rPr>
              <w:t>7.4%</w:t>
            </w:r>
          </w:p>
        </w:tc>
      </w:tr>
      <w:tr w:rsidR="0073190C" w:rsidRPr="001A23D9" w14:paraId="5740A023" w14:textId="77777777" w:rsidTr="003A6E31">
        <w:trPr>
          <w:trHeight w:val="269"/>
          <w:jc w:val="center"/>
        </w:trPr>
        <w:tc>
          <w:tcPr>
            <w:tcW w:w="8868" w:type="dxa"/>
            <w:gridSpan w:val="7"/>
            <w:shd w:val="clear" w:color="auto" w:fill="auto"/>
            <w:noWrap/>
            <w:vAlign w:val="bottom"/>
          </w:tcPr>
          <w:p w14:paraId="41F4612C" w14:textId="28D59AA2" w:rsidR="0073190C" w:rsidRPr="00526FA6" w:rsidRDefault="0073190C" w:rsidP="003A6E31">
            <w:pPr>
              <w:spacing w:after="0" w:line="240" w:lineRule="auto"/>
              <w:jc w:val="right"/>
              <w:rPr>
                <w:rFonts w:ascii="Garamond" w:eastAsia="Times New Roman" w:hAnsi="Garamond" w:cs="Sanskrit Text"/>
                <w:i/>
                <w:iCs/>
              </w:rPr>
            </w:pPr>
            <w:r w:rsidRPr="00526FA6">
              <w:rPr>
                <w:rFonts w:ascii="Garamond" w:eastAsia="Times New Roman" w:hAnsi="Garamond" w:cs="Sanskrit Text"/>
                <w:i/>
                <w:iCs/>
                <w:color w:val="808080" w:themeColor="background1" w:themeShade="80"/>
              </w:rPr>
              <w:t xml:space="preserve">The WACC displayed is </w:t>
            </w:r>
            <w:r w:rsidR="00121C4D" w:rsidRPr="00526FA6">
              <w:rPr>
                <w:rFonts w:ascii="Garamond" w:eastAsia="Times New Roman" w:hAnsi="Garamond" w:cs="Sanskrit Text"/>
                <w:i/>
                <w:iCs/>
                <w:color w:val="808080" w:themeColor="background1" w:themeShade="80"/>
              </w:rPr>
              <w:t xml:space="preserve">a pre-tax estimate </w:t>
            </w:r>
            <w:r w:rsidRPr="00526FA6">
              <w:rPr>
                <w:rFonts w:ascii="Garamond" w:eastAsia="Times New Roman" w:hAnsi="Garamond" w:cs="Sanskrit Text"/>
                <w:i/>
                <w:iCs/>
                <w:color w:val="808080" w:themeColor="background1" w:themeShade="80"/>
              </w:rPr>
              <w:t>for example purposes only and does not represent any specific industry.</w:t>
            </w:r>
          </w:p>
        </w:tc>
      </w:tr>
    </w:tbl>
    <w:p w14:paraId="373459BD" w14:textId="6C9A944A" w:rsidR="002E7ED7" w:rsidRPr="001A23D9" w:rsidRDefault="007C3349" w:rsidP="00D865B3">
      <w:pPr>
        <w:spacing w:before="160"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Dividing the </w:t>
      </w:r>
      <w:r w:rsidR="00D817B5" w:rsidRPr="001A23D9">
        <w:rPr>
          <w:rFonts w:ascii="Garamond" w:eastAsia="Calibri" w:hAnsi="Garamond" w:cs="Sanskrit Text"/>
          <w:sz w:val="24"/>
          <w:szCs w:val="24"/>
        </w:rPr>
        <w:t>income</w:t>
      </w:r>
      <w:r w:rsidRPr="001A23D9">
        <w:rPr>
          <w:rFonts w:ascii="Garamond" w:eastAsia="Calibri" w:hAnsi="Garamond" w:cs="Sanskrit Text"/>
          <w:sz w:val="24"/>
          <w:szCs w:val="24"/>
        </w:rPr>
        <w:t xml:space="preserve"> of a company by the WACC provides an indication of value and represents a price that can be paid for the property that would result in an income stream sufficient to satisfy the lender </w:t>
      </w:r>
      <w:r w:rsidR="00531B4A">
        <w:rPr>
          <w:rFonts w:ascii="Garamond" w:eastAsia="Calibri" w:hAnsi="Garamond" w:cs="Sanskrit Text"/>
          <w:sz w:val="24"/>
          <w:szCs w:val="24"/>
        </w:rPr>
        <w:t>of debt</w:t>
      </w:r>
      <w:r w:rsidRPr="001A23D9">
        <w:rPr>
          <w:rFonts w:ascii="Garamond" w:eastAsia="Calibri" w:hAnsi="Garamond" w:cs="Sanskrit Text"/>
          <w:sz w:val="24"/>
          <w:szCs w:val="24"/>
        </w:rPr>
        <w:t xml:space="preserve"> and </w:t>
      </w:r>
      <w:r w:rsidR="00531B4A">
        <w:rPr>
          <w:rFonts w:ascii="Garamond" w:eastAsia="Calibri" w:hAnsi="Garamond" w:cs="Sanskrit Text"/>
          <w:sz w:val="24"/>
          <w:szCs w:val="24"/>
        </w:rPr>
        <w:t xml:space="preserve">the </w:t>
      </w:r>
      <w:r w:rsidRPr="001A23D9">
        <w:rPr>
          <w:rFonts w:ascii="Garamond" w:eastAsia="Calibri" w:hAnsi="Garamond" w:cs="Sanskrit Text"/>
          <w:sz w:val="24"/>
          <w:szCs w:val="24"/>
        </w:rPr>
        <w:t xml:space="preserve">investor </w:t>
      </w:r>
      <w:r w:rsidR="00531B4A">
        <w:rPr>
          <w:rFonts w:ascii="Garamond" w:eastAsia="Calibri" w:hAnsi="Garamond" w:cs="Sanskrit Text"/>
          <w:sz w:val="24"/>
          <w:szCs w:val="24"/>
        </w:rPr>
        <w:t xml:space="preserve">in </w:t>
      </w:r>
      <w:r w:rsidRPr="001A23D9">
        <w:rPr>
          <w:rFonts w:ascii="Garamond" w:eastAsia="Calibri" w:hAnsi="Garamond" w:cs="Sanskrit Text"/>
          <w:sz w:val="24"/>
          <w:szCs w:val="24"/>
        </w:rPr>
        <w:t xml:space="preserve">equity.  </w:t>
      </w:r>
      <w:r w:rsidR="004E4437" w:rsidRPr="001A23D9">
        <w:rPr>
          <w:rFonts w:ascii="Garamond" w:eastAsia="Calibri" w:hAnsi="Garamond" w:cs="Sanskrit Text"/>
          <w:sz w:val="24"/>
          <w:szCs w:val="24"/>
        </w:rPr>
        <w:t>Dr.</w:t>
      </w:r>
      <w:r w:rsidR="00EC4620" w:rsidRPr="001A23D9">
        <w:rPr>
          <w:rFonts w:ascii="Garamond" w:eastAsia="Calibri" w:hAnsi="Garamond" w:cs="Sanskrit Text"/>
          <w:sz w:val="24"/>
          <w:szCs w:val="24"/>
        </w:rPr>
        <w:t xml:space="preserve"> Damodaran provides additional insight into the nature of WACC</w:t>
      </w:r>
      <w:r w:rsidR="002E7ED7" w:rsidRPr="001A23D9">
        <w:rPr>
          <w:rFonts w:ascii="Garamond" w:eastAsia="Calibri" w:hAnsi="Garamond" w:cs="Sanskrit Text"/>
          <w:sz w:val="24"/>
          <w:szCs w:val="24"/>
        </w:rPr>
        <w:t>:</w:t>
      </w:r>
    </w:p>
    <w:p w14:paraId="3446707B" w14:textId="386E1CE4" w:rsidR="007C3349" w:rsidRPr="001A23D9" w:rsidRDefault="007C4621" w:rsidP="00AA6A83">
      <w:pPr>
        <w:spacing w:after="160" w:line="259" w:lineRule="auto"/>
        <w:ind w:left="720"/>
        <w:rPr>
          <w:rFonts w:ascii="Garamond" w:eastAsia="Calibri" w:hAnsi="Garamond" w:cs="Sanskrit Text"/>
          <w:b/>
          <w:bCs/>
          <w:sz w:val="24"/>
          <w:szCs w:val="24"/>
          <w:u w:val="single"/>
        </w:rPr>
      </w:pPr>
      <w:r w:rsidRPr="001A23D9">
        <w:rPr>
          <w:rFonts w:ascii="Garamond" w:eastAsia="Calibri" w:hAnsi="Garamond" w:cs="Sanskrit Text"/>
          <w:sz w:val="24"/>
          <w:szCs w:val="24"/>
        </w:rPr>
        <w:t>“</w:t>
      </w:r>
      <w:r w:rsidR="00AC21F3" w:rsidRPr="001A23D9">
        <w:rPr>
          <w:rFonts w:ascii="Garamond" w:eastAsia="Calibri" w:hAnsi="Garamond" w:cs="Sanskrit Text"/>
          <w:sz w:val="24"/>
          <w:szCs w:val="24"/>
        </w:rPr>
        <w:t>[T]</w:t>
      </w:r>
      <w:r w:rsidR="00EC4620" w:rsidRPr="001A23D9">
        <w:rPr>
          <w:rFonts w:ascii="Garamond" w:eastAsia="Calibri" w:hAnsi="Garamond" w:cs="Sanskrit Text"/>
          <w:sz w:val="24"/>
          <w:szCs w:val="24"/>
        </w:rPr>
        <w:t>he cost of capital in a valuation is not a return that you would like to make on the company that you are valuing and it is not a receptacle for your hopes and fears, where you respond to discomfort with uncertainty by increasing your discount rate.  It should not be, though it often is, a mechanism for reverse engineering a pre-determined value.</w:t>
      </w:r>
      <w:r w:rsidRPr="001A23D9">
        <w:rPr>
          <w:rFonts w:ascii="Garamond" w:eastAsia="Calibri" w:hAnsi="Garamond" w:cs="Sanskrit Text"/>
          <w:sz w:val="24"/>
          <w:szCs w:val="24"/>
        </w:rPr>
        <w:t>”</w:t>
      </w:r>
      <w:r w:rsidR="00EC4620" w:rsidRPr="001A23D9">
        <w:rPr>
          <w:rStyle w:val="FootnoteReference"/>
          <w:rFonts w:ascii="Garamond" w:eastAsia="Calibri" w:hAnsi="Garamond" w:cs="Sanskrit Text"/>
          <w:sz w:val="24"/>
          <w:szCs w:val="24"/>
        </w:rPr>
        <w:footnoteReference w:id="14"/>
      </w:r>
    </w:p>
    <w:p w14:paraId="48F88CF4" w14:textId="3039DFF1" w:rsidR="0056059E" w:rsidRDefault="004717B0" w:rsidP="00DE28B6">
      <w:pPr>
        <w:spacing w:before="240" w:after="160" w:line="360" w:lineRule="auto"/>
        <w:rPr>
          <w:rFonts w:ascii="Garamond" w:eastAsia="Calibri" w:hAnsi="Garamond" w:cs="Sanskrit Text"/>
          <w:b/>
          <w:bCs/>
          <w:sz w:val="24"/>
          <w:szCs w:val="24"/>
          <w:u w:val="single"/>
        </w:rPr>
      </w:pPr>
      <w:r w:rsidRPr="001A23D9">
        <w:rPr>
          <w:rFonts w:ascii="Garamond" w:eastAsia="Calibri" w:hAnsi="Garamond" w:cs="Sanskrit Text"/>
          <w:b/>
          <w:bCs/>
          <w:sz w:val="24"/>
          <w:szCs w:val="24"/>
          <w:u w:val="single"/>
        </w:rPr>
        <w:t>OTHER CONSIDERATIONS</w:t>
      </w:r>
    </w:p>
    <w:p w14:paraId="3750E9E8" w14:textId="610E1687" w:rsidR="00011B8E" w:rsidRDefault="00011B8E" w:rsidP="00AD6737">
      <w:pPr>
        <w:spacing w:after="0" w:line="259" w:lineRule="auto"/>
        <w:rPr>
          <w:rFonts w:ascii="Garamond" w:eastAsia="Calibri" w:hAnsi="Garamond" w:cs="Sanskrit Text"/>
          <w:b/>
          <w:bCs/>
          <w:sz w:val="24"/>
          <w:szCs w:val="24"/>
        </w:rPr>
      </w:pPr>
      <w:r w:rsidRPr="00011B8E">
        <w:rPr>
          <w:rFonts w:ascii="Garamond" w:eastAsia="Calibri" w:hAnsi="Garamond" w:cs="Sanskrit Text"/>
          <w:b/>
          <w:bCs/>
          <w:sz w:val="24"/>
          <w:szCs w:val="24"/>
        </w:rPr>
        <w:t>Normalizing the Risk</w:t>
      </w:r>
      <w:r>
        <w:rPr>
          <w:rFonts w:ascii="Garamond" w:eastAsia="Calibri" w:hAnsi="Garamond" w:cs="Sanskrit Text"/>
          <w:b/>
          <w:bCs/>
          <w:sz w:val="24"/>
          <w:szCs w:val="24"/>
        </w:rPr>
        <w:t>-</w:t>
      </w:r>
      <w:r w:rsidRPr="00011B8E">
        <w:rPr>
          <w:rFonts w:ascii="Garamond" w:eastAsia="Calibri" w:hAnsi="Garamond" w:cs="Sanskrit Text"/>
          <w:b/>
          <w:bCs/>
          <w:sz w:val="24"/>
          <w:szCs w:val="24"/>
        </w:rPr>
        <w:t>Free Rate</w:t>
      </w:r>
    </w:p>
    <w:p w14:paraId="562FA3A9" w14:textId="3AD967EE" w:rsidR="00953A31" w:rsidRDefault="00D54F13" w:rsidP="00AD6737">
      <w:pPr>
        <w:spacing w:after="0" w:line="259" w:lineRule="auto"/>
        <w:rPr>
          <w:rFonts w:ascii="Garamond" w:eastAsia="Calibri" w:hAnsi="Garamond" w:cs="Sanskrit Text"/>
          <w:sz w:val="24"/>
          <w:szCs w:val="24"/>
        </w:rPr>
      </w:pPr>
      <w:r>
        <w:rPr>
          <w:rFonts w:ascii="Garamond" w:eastAsia="Calibri" w:hAnsi="Garamond" w:cs="Sanskrit Text"/>
          <w:sz w:val="24"/>
          <w:szCs w:val="24"/>
        </w:rPr>
        <w:t xml:space="preserve">Staff, as well as most other valuation practitioners believe that the use of a normalized risk-free rate contradicts valuation theory.  </w:t>
      </w:r>
      <w:r w:rsidR="00DB27CF">
        <w:rPr>
          <w:rFonts w:ascii="Garamond" w:eastAsia="Calibri" w:hAnsi="Garamond" w:cs="Sanskrit Text"/>
          <w:sz w:val="24"/>
          <w:szCs w:val="24"/>
        </w:rPr>
        <w:t xml:space="preserve">When you select a rate that </w:t>
      </w:r>
      <w:r w:rsidR="002D5127">
        <w:rPr>
          <w:rFonts w:ascii="Garamond" w:eastAsia="Calibri" w:hAnsi="Garamond" w:cs="Sanskrit Text"/>
          <w:sz w:val="24"/>
          <w:szCs w:val="24"/>
        </w:rPr>
        <w:t>is different from what is available and visible in the market</w:t>
      </w:r>
      <w:r w:rsidR="00AD6737">
        <w:rPr>
          <w:rFonts w:ascii="Garamond" w:eastAsia="Calibri" w:hAnsi="Garamond" w:cs="Sanskrit Text"/>
          <w:sz w:val="24"/>
          <w:szCs w:val="24"/>
        </w:rPr>
        <w:t>, y</w:t>
      </w:r>
      <w:r w:rsidR="00DB27CF">
        <w:rPr>
          <w:rFonts w:ascii="Garamond" w:eastAsia="Calibri" w:hAnsi="Garamond" w:cs="Sanskrit Text"/>
          <w:sz w:val="24"/>
          <w:szCs w:val="24"/>
        </w:rPr>
        <w:t>ou are inappropriately introducing risk into what should be a risk-free rate</w:t>
      </w:r>
      <w:r w:rsidR="002D5127">
        <w:rPr>
          <w:rFonts w:ascii="Garamond" w:eastAsia="Calibri" w:hAnsi="Garamond" w:cs="Sanskrit Text"/>
          <w:sz w:val="24"/>
          <w:szCs w:val="24"/>
        </w:rPr>
        <w:t xml:space="preserve">. </w:t>
      </w:r>
      <w:r w:rsidR="00BB6DD4">
        <w:rPr>
          <w:rFonts w:ascii="Garamond" w:eastAsia="Calibri" w:hAnsi="Garamond" w:cs="Sanskrit Text"/>
          <w:sz w:val="24"/>
          <w:szCs w:val="24"/>
        </w:rPr>
        <w:t>In</w:t>
      </w:r>
      <w:r w:rsidR="002D5127">
        <w:rPr>
          <w:rFonts w:ascii="Garamond" w:eastAsia="Calibri" w:hAnsi="Garamond" w:cs="Sanskrit Text"/>
          <w:sz w:val="24"/>
          <w:szCs w:val="24"/>
        </w:rPr>
        <w:t xml:space="preserve"> financial markets</w:t>
      </w:r>
      <w:r w:rsidR="00E42DF5">
        <w:rPr>
          <w:rFonts w:ascii="Garamond" w:eastAsia="Calibri" w:hAnsi="Garamond" w:cs="Sanskrit Text"/>
          <w:sz w:val="24"/>
          <w:szCs w:val="24"/>
        </w:rPr>
        <w:t>,</w:t>
      </w:r>
      <w:r w:rsidR="002D5127">
        <w:rPr>
          <w:rFonts w:ascii="Garamond" w:eastAsia="Calibri" w:hAnsi="Garamond" w:cs="Sanskrit Text"/>
          <w:sz w:val="24"/>
          <w:szCs w:val="24"/>
        </w:rPr>
        <w:t xml:space="preserve"> risk is often thought of as uncertainty in an expected rate of return.  </w:t>
      </w:r>
      <w:r w:rsidR="00BB6DD4">
        <w:rPr>
          <w:rFonts w:ascii="Garamond" w:eastAsia="Calibri" w:hAnsi="Garamond" w:cs="Sanskrit Text"/>
          <w:sz w:val="24"/>
          <w:szCs w:val="24"/>
        </w:rPr>
        <w:t>By changing the risk-free rate from what it is to what you think it should be you are incorporating additional uncertainty.  The only thing that is visible, certain, and risk-free is the rate of return that is actually available</w:t>
      </w:r>
      <w:r w:rsidR="00CA08A7">
        <w:rPr>
          <w:rFonts w:ascii="Garamond" w:eastAsia="Calibri" w:hAnsi="Garamond" w:cs="Sanskrit Text"/>
          <w:sz w:val="24"/>
          <w:szCs w:val="24"/>
        </w:rPr>
        <w:t xml:space="preserve"> to the investor.</w:t>
      </w:r>
    </w:p>
    <w:p w14:paraId="418762F4" w14:textId="77777777" w:rsidR="00CA08A7" w:rsidRDefault="00CA08A7" w:rsidP="00AD6737">
      <w:pPr>
        <w:spacing w:after="0" w:line="259" w:lineRule="auto"/>
        <w:rPr>
          <w:rFonts w:ascii="Garamond" w:eastAsia="Calibri" w:hAnsi="Garamond" w:cs="Sanskrit Text"/>
          <w:sz w:val="24"/>
          <w:szCs w:val="24"/>
        </w:rPr>
      </w:pPr>
    </w:p>
    <w:p w14:paraId="0023484D" w14:textId="2023C277" w:rsidR="0038234B" w:rsidRDefault="00CA08A7" w:rsidP="00AD6737">
      <w:pPr>
        <w:spacing w:after="0" w:line="259" w:lineRule="auto"/>
        <w:rPr>
          <w:rFonts w:ascii="Garamond" w:eastAsia="Calibri" w:hAnsi="Garamond" w:cs="Sanskrit Text"/>
          <w:sz w:val="24"/>
          <w:szCs w:val="24"/>
        </w:rPr>
      </w:pPr>
      <w:r>
        <w:rPr>
          <w:rFonts w:ascii="Garamond" w:eastAsia="Calibri" w:hAnsi="Garamond" w:cs="Sanskrit Text"/>
          <w:sz w:val="24"/>
          <w:szCs w:val="24"/>
        </w:rPr>
        <w:t>Furthermore, w</w:t>
      </w:r>
      <w:r w:rsidR="00003BA8">
        <w:rPr>
          <w:rFonts w:ascii="Garamond" w:eastAsia="Calibri" w:hAnsi="Garamond" w:cs="Sanskrit Text"/>
          <w:sz w:val="24"/>
          <w:szCs w:val="24"/>
        </w:rPr>
        <w:t xml:space="preserve">hen we calculate </w:t>
      </w:r>
      <w:r w:rsidR="008C1D2C">
        <w:rPr>
          <w:rFonts w:ascii="Garamond" w:eastAsia="Calibri" w:hAnsi="Garamond" w:cs="Sanskrit Text"/>
          <w:sz w:val="24"/>
          <w:szCs w:val="24"/>
        </w:rPr>
        <w:t>the cost</w:t>
      </w:r>
      <w:r w:rsidR="00D173F1">
        <w:rPr>
          <w:rFonts w:ascii="Garamond" w:eastAsia="Calibri" w:hAnsi="Garamond" w:cs="Sanskrit Text"/>
          <w:sz w:val="24"/>
          <w:szCs w:val="24"/>
        </w:rPr>
        <w:t xml:space="preserve"> of capital</w:t>
      </w:r>
      <w:r w:rsidR="005D5E68">
        <w:rPr>
          <w:rFonts w:ascii="Garamond" w:eastAsia="Calibri" w:hAnsi="Garamond" w:cs="Sanskrit Text"/>
          <w:sz w:val="24"/>
          <w:szCs w:val="24"/>
        </w:rPr>
        <w:t>,</w:t>
      </w:r>
      <w:r w:rsidR="00D173F1">
        <w:rPr>
          <w:rFonts w:ascii="Garamond" w:eastAsia="Calibri" w:hAnsi="Garamond" w:cs="Sanskrit Text"/>
          <w:sz w:val="24"/>
          <w:szCs w:val="24"/>
        </w:rPr>
        <w:t xml:space="preserve"> we are determining an opportunity cost.  We are looking for the minimum required rate of return that an investor will demand given competing investments with commensurate risks in the market.  One of those </w:t>
      </w:r>
      <w:r w:rsidR="00017A43">
        <w:rPr>
          <w:rFonts w:ascii="Garamond" w:eastAsia="Calibri" w:hAnsi="Garamond" w:cs="Sanskrit Text"/>
          <w:sz w:val="24"/>
          <w:szCs w:val="24"/>
        </w:rPr>
        <w:t xml:space="preserve">competing </w:t>
      </w:r>
      <w:r w:rsidR="00D173F1">
        <w:rPr>
          <w:rFonts w:ascii="Garamond" w:eastAsia="Calibri" w:hAnsi="Garamond" w:cs="Sanskrit Text"/>
          <w:sz w:val="24"/>
          <w:szCs w:val="24"/>
        </w:rPr>
        <w:t xml:space="preserve">investments is </w:t>
      </w:r>
      <w:r w:rsidR="00017A43">
        <w:rPr>
          <w:rFonts w:ascii="Garamond" w:eastAsia="Calibri" w:hAnsi="Garamond" w:cs="Sanskrit Text"/>
          <w:sz w:val="24"/>
          <w:szCs w:val="24"/>
        </w:rPr>
        <w:t xml:space="preserve">a risk-free return that can be derived from the purchase of a government backed </w:t>
      </w:r>
      <w:r w:rsidR="005D5E68">
        <w:rPr>
          <w:rFonts w:ascii="Garamond" w:eastAsia="Calibri" w:hAnsi="Garamond" w:cs="Sanskrit Text"/>
          <w:sz w:val="24"/>
          <w:szCs w:val="24"/>
        </w:rPr>
        <w:t>T</w:t>
      </w:r>
      <w:r w:rsidR="00017A43">
        <w:rPr>
          <w:rFonts w:ascii="Garamond" w:eastAsia="Calibri" w:hAnsi="Garamond" w:cs="Sanskrit Text"/>
          <w:sz w:val="24"/>
          <w:szCs w:val="24"/>
        </w:rPr>
        <w:t xml:space="preserve">reasury bond.  When we assume a risk-free rate in the model </w:t>
      </w:r>
      <w:r w:rsidR="008C1D2C">
        <w:rPr>
          <w:rFonts w:ascii="Garamond" w:eastAsia="Calibri" w:hAnsi="Garamond" w:cs="Sanskrit Text"/>
          <w:sz w:val="24"/>
          <w:szCs w:val="24"/>
        </w:rPr>
        <w:t>that</w:t>
      </w:r>
      <w:r w:rsidR="00017A43">
        <w:rPr>
          <w:rFonts w:ascii="Garamond" w:eastAsia="Calibri" w:hAnsi="Garamond" w:cs="Sanskrit Text"/>
          <w:sz w:val="24"/>
          <w:szCs w:val="24"/>
        </w:rPr>
        <w:t xml:space="preserve"> is not available to the investor for purchase, we are contradicting the principle of an “opportunity cost”.</w:t>
      </w:r>
      <w:r w:rsidR="002D6BD2">
        <w:rPr>
          <w:rFonts w:ascii="Garamond" w:eastAsia="Calibri" w:hAnsi="Garamond" w:cs="Sanskrit Text"/>
          <w:sz w:val="24"/>
          <w:szCs w:val="24"/>
        </w:rPr>
        <w:t xml:space="preserve">  </w:t>
      </w:r>
    </w:p>
    <w:p w14:paraId="61556F05" w14:textId="77777777" w:rsidR="007508ED" w:rsidRDefault="007508ED" w:rsidP="0038234B">
      <w:pPr>
        <w:spacing w:after="0" w:line="240" w:lineRule="auto"/>
        <w:rPr>
          <w:rFonts w:ascii="Garamond" w:eastAsia="Calibri" w:hAnsi="Garamond" w:cs="Sanskrit Text"/>
          <w:sz w:val="24"/>
          <w:szCs w:val="24"/>
        </w:rPr>
      </w:pPr>
    </w:p>
    <w:p w14:paraId="166EEA68" w14:textId="77777777" w:rsidR="00FC269A" w:rsidRDefault="00FC269A" w:rsidP="0038234B">
      <w:pPr>
        <w:spacing w:after="0" w:line="240" w:lineRule="auto"/>
        <w:rPr>
          <w:rFonts w:ascii="Garamond" w:eastAsia="Calibri" w:hAnsi="Garamond" w:cs="Sanskrit Text"/>
          <w:sz w:val="24"/>
          <w:szCs w:val="24"/>
        </w:rPr>
      </w:pPr>
    </w:p>
    <w:p w14:paraId="3C899A78" w14:textId="77777777" w:rsidR="00FC269A" w:rsidRDefault="00FC269A" w:rsidP="0038234B">
      <w:pPr>
        <w:spacing w:after="0" w:line="240" w:lineRule="auto"/>
        <w:rPr>
          <w:rFonts w:ascii="Garamond" w:eastAsia="Calibri" w:hAnsi="Garamond" w:cs="Sanskrit Text"/>
          <w:sz w:val="24"/>
          <w:szCs w:val="24"/>
        </w:rPr>
      </w:pPr>
    </w:p>
    <w:p w14:paraId="0CA52AC5" w14:textId="77777777" w:rsidR="00FC269A" w:rsidRDefault="00FC269A" w:rsidP="0038234B">
      <w:pPr>
        <w:spacing w:after="0" w:line="240" w:lineRule="auto"/>
        <w:rPr>
          <w:rFonts w:ascii="Garamond" w:eastAsia="Calibri" w:hAnsi="Garamond" w:cs="Sanskrit Text"/>
          <w:sz w:val="24"/>
          <w:szCs w:val="24"/>
        </w:rPr>
      </w:pPr>
    </w:p>
    <w:p w14:paraId="0CC84A14" w14:textId="05F7C09E" w:rsidR="002D6BD2" w:rsidRDefault="00FC269A" w:rsidP="0038234B">
      <w:pPr>
        <w:spacing w:after="0" w:line="240" w:lineRule="auto"/>
        <w:rPr>
          <w:rFonts w:ascii="Garamond" w:eastAsia="Calibri" w:hAnsi="Garamond" w:cs="Sanskrit Text"/>
          <w:sz w:val="24"/>
          <w:szCs w:val="24"/>
        </w:rPr>
      </w:pPr>
      <w:r>
        <w:rPr>
          <w:rFonts w:ascii="Garamond" w:eastAsia="Calibri" w:hAnsi="Garamond" w:cs="Sanskrit Text"/>
          <w:sz w:val="24"/>
          <w:szCs w:val="24"/>
        </w:rPr>
        <w:lastRenderedPageBreak/>
        <w:t>D</w:t>
      </w:r>
      <w:r w:rsidR="002D6BD2">
        <w:rPr>
          <w:rFonts w:ascii="Garamond" w:eastAsia="Calibri" w:hAnsi="Garamond" w:cs="Sanskrit Text"/>
          <w:sz w:val="24"/>
          <w:szCs w:val="24"/>
        </w:rPr>
        <w:t xml:space="preserve">r. Damodaran </w:t>
      </w:r>
      <w:r w:rsidR="005D5E68">
        <w:rPr>
          <w:rFonts w:ascii="Garamond" w:eastAsia="Calibri" w:hAnsi="Garamond" w:cs="Sanskrit Text"/>
          <w:sz w:val="24"/>
          <w:szCs w:val="24"/>
        </w:rPr>
        <w:t>states</w:t>
      </w:r>
      <w:r w:rsidR="002D6BD2">
        <w:rPr>
          <w:rFonts w:ascii="Garamond" w:eastAsia="Calibri" w:hAnsi="Garamond" w:cs="Sanskrit Text"/>
          <w:sz w:val="24"/>
          <w:szCs w:val="24"/>
        </w:rPr>
        <w:t xml:space="preserve"> it this way:</w:t>
      </w:r>
    </w:p>
    <w:p w14:paraId="63D67B8E" w14:textId="77777777" w:rsidR="002D6BD2" w:rsidRDefault="002D6BD2" w:rsidP="00AD6737">
      <w:pPr>
        <w:spacing w:after="0" w:line="259" w:lineRule="auto"/>
        <w:rPr>
          <w:rFonts w:ascii="Garamond" w:eastAsia="Calibri" w:hAnsi="Garamond" w:cs="Sanskrit Text"/>
          <w:sz w:val="24"/>
          <w:szCs w:val="24"/>
        </w:rPr>
      </w:pPr>
    </w:p>
    <w:p w14:paraId="748312E1" w14:textId="298473B1" w:rsidR="00011B8E" w:rsidRDefault="002D6BD2" w:rsidP="002D6BD2">
      <w:pPr>
        <w:spacing w:after="0" w:line="259" w:lineRule="auto"/>
        <w:ind w:left="720"/>
        <w:rPr>
          <w:rFonts w:ascii="Garamond" w:eastAsia="Calibri" w:hAnsi="Garamond" w:cs="Sanskrit Text"/>
          <w:sz w:val="24"/>
          <w:szCs w:val="24"/>
        </w:rPr>
      </w:pPr>
      <w:r w:rsidRPr="00FC269A">
        <w:rPr>
          <w:rFonts w:ascii="Garamond" w:eastAsia="Calibri" w:hAnsi="Garamond" w:cs="Sanskrit Text"/>
          <w:sz w:val="24"/>
          <w:szCs w:val="24"/>
        </w:rPr>
        <w:t xml:space="preserve">“The </w:t>
      </w:r>
      <w:r w:rsidR="00AE489E" w:rsidRPr="00FC269A">
        <w:rPr>
          <w:rFonts w:ascii="Garamond" w:eastAsia="Calibri" w:hAnsi="Garamond" w:cs="Sanskrit Text"/>
          <w:sz w:val="24"/>
          <w:szCs w:val="24"/>
        </w:rPr>
        <w:t>risk free</w:t>
      </w:r>
      <w:r w:rsidRPr="00FC269A">
        <w:rPr>
          <w:rFonts w:ascii="Garamond" w:eastAsia="Calibri" w:hAnsi="Garamond" w:cs="Sanskrit Text"/>
          <w:sz w:val="24"/>
          <w:szCs w:val="24"/>
        </w:rPr>
        <w:t xml:space="preserve"> rate is not just a number in a discount rate computation but an opportunity cost.</w:t>
      </w:r>
      <w:r w:rsidRPr="002D6BD2">
        <w:rPr>
          <w:rFonts w:ascii="Garamond" w:eastAsia="Calibri" w:hAnsi="Garamond" w:cs="Sanskrit Text"/>
          <w:sz w:val="24"/>
          <w:szCs w:val="24"/>
        </w:rPr>
        <w:t xml:space="preserve"> One way to think about the </w:t>
      </w:r>
      <w:r w:rsidR="00AE489E" w:rsidRPr="002D6BD2">
        <w:rPr>
          <w:rFonts w:ascii="Garamond" w:eastAsia="Calibri" w:hAnsi="Garamond" w:cs="Sanskrit Text"/>
          <w:sz w:val="24"/>
          <w:szCs w:val="24"/>
        </w:rPr>
        <w:t>risk</w:t>
      </w:r>
      <w:r w:rsidR="00AE489E">
        <w:rPr>
          <w:rFonts w:ascii="Garamond" w:eastAsia="Calibri" w:hAnsi="Garamond" w:cs="Sanskrit Text"/>
          <w:sz w:val="24"/>
          <w:szCs w:val="24"/>
        </w:rPr>
        <w:t xml:space="preserve"> </w:t>
      </w:r>
      <w:r w:rsidR="00AE489E" w:rsidRPr="002D6BD2">
        <w:rPr>
          <w:rFonts w:ascii="Garamond" w:eastAsia="Calibri" w:hAnsi="Garamond" w:cs="Sanskrit Text"/>
          <w:sz w:val="24"/>
          <w:szCs w:val="24"/>
        </w:rPr>
        <w:t>free</w:t>
      </w:r>
      <w:r w:rsidRPr="002D6BD2">
        <w:rPr>
          <w:rFonts w:ascii="Garamond" w:eastAsia="Calibri" w:hAnsi="Garamond" w:cs="Sanskrit Text"/>
          <w:sz w:val="24"/>
          <w:szCs w:val="24"/>
        </w:rPr>
        <w:t xml:space="preserve"> rate is that it is the rate you will earn if you choose not to take the risky investments that are out there (stocks, corporate bonds, real estate, a business venture). So, let's carry this to its logical extreme. Let's assume that you do replace today's risk free rate (2% or lower) with your normalized rate (4%) and that the resulting high discount rate gives you a low value for your risky asset. Let's then assume that you choose not to invest in that risky asset. Where do you plan to invest that money instead? In your normalized bond earning 4%? Since it exists only on your spreadsheet, I am afraid that you will have to settle for that "abnormally" low 2% interest rate.</w:t>
      </w:r>
      <w:r>
        <w:rPr>
          <w:rFonts w:ascii="Garamond" w:eastAsia="Calibri" w:hAnsi="Garamond" w:cs="Sanskrit Text"/>
          <w:sz w:val="24"/>
          <w:szCs w:val="24"/>
        </w:rPr>
        <w:t>”</w:t>
      </w:r>
      <w:r w:rsidR="005D5E68">
        <w:rPr>
          <w:rStyle w:val="FootnoteReference"/>
          <w:rFonts w:ascii="Garamond" w:eastAsia="Calibri" w:hAnsi="Garamond" w:cs="Sanskrit Text"/>
          <w:sz w:val="24"/>
          <w:szCs w:val="24"/>
        </w:rPr>
        <w:footnoteReference w:id="15"/>
      </w:r>
    </w:p>
    <w:p w14:paraId="28E1784B" w14:textId="751DC8DD" w:rsidR="002D6BD2" w:rsidRDefault="002D6BD2" w:rsidP="002D6BD2">
      <w:pPr>
        <w:spacing w:after="0" w:line="259" w:lineRule="auto"/>
        <w:rPr>
          <w:rFonts w:ascii="Garamond" w:eastAsia="Calibri" w:hAnsi="Garamond" w:cs="Sanskrit Text"/>
          <w:sz w:val="24"/>
          <w:szCs w:val="24"/>
        </w:rPr>
      </w:pPr>
    </w:p>
    <w:p w14:paraId="386A67BC" w14:textId="4937715E" w:rsidR="00011B8E" w:rsidRDefault="00CA08A7" w:rsidP="0011673F">
      <w:pPr>
        <w:spacing w:after="0" w:line="259" w:lineRule="auto"/>
        <w:rPr>
          <w:rFonts w:ascii="Garamond" w:eastAsia="Calibri" w:hAnsi="Garamond" w:cs="Sanskrit Text"/>
          <w:sz w:val="24"/>
          <w:szCs w:val="24"/>
        </w:rPr>
      </w:pPr>
      <w:r>
        <w:rPr>
          <w:rFonts w:ascii="Garamond" w:eastAsia="Calibri" w:hAnsi="Garamond" w:cs="Sanskrit Text"/>
          <w:sz w:val="24"/>
          <w:szCs w:val="24"/>
        </w:rPr>
        <w:t xml:space="preserve">Appraisal staff will continue to use our current method of determining an appropriate risk-free </w:t>
      </w:r>
      <w:r w:rsidR="0011673F">
        <w:rPr>
          <w:rFonts w:ascii="Garamond" w:eastAsia="Calibri" w:hAnsi="Garamond" w:cs="Sanskrit Text"/>
          <w:sz w:val="24"/>
          <w:szCs w:val="24"/>
        </w:rPr>
        <w:t xml:space="preserve">rate by using an average of the </w:t>
      </w:r>
      <w:r w:rsidR="009E308E">
        <w:rPr>
          <w:rFonts w:ascii="Garamond" w:eastAsia="Calibri" w:hAnsi="Garamond" w:cs="Sanskrit Text"/>
          <w:sz w:val="24"/>
          <w:szCs w:val="24"/>
        </w:rPr>
        <w:t>20</w:t>
      </w:r>
      <w:r w:rsidR="004971AF">
        <w:rPr>
          <w:rFonts w:ascii="Garamond" w:eastAsia="Calibri" w:hAnsi="Garamond" w:cs="Sanskrit Text"/>
          <w:sz w:val="24"/>
          <w:szCs w:val="24"/>
        </w:rPr>
        <w:t>-</w:t>
      </w:r>
      <w:r w:rsidR="0011673F">
        <w:rPr>
          <w:rFonts w:ascii="Garamond" w:eastAsia="Calibri" w:hAnsi="Garamond" w:cs="Sanskrit Text"/>
          <w:sz w:val="24"/>
          <w:szCs w:val="24"/>
        </w:rPr>
        <w:t xml:space="preserve">year </w:t>
      </w:r>
      <w:r w:rsidR="004971AF">
        <w:rPr>
          <w:rFonts w:ascii="Garamond" w:eastAsia="Calibri" w:hAnsi="Garamond" w:cs="Sanskrit Text"/>
          <w:sz w:val="24"/>
          <w:szCs w:val="24"/>
        </w:rPr>
        <w:t>T</w:t>
      </w:r>
      <w:r w:rsidR="0011673F">
        <w:rPr>
          <w:rFonts w:ascii="Garamond" w:eastAsia="Calibri" w:hAnsi="Garamond" w:cs="Sanskrit Text"/>
          <w:sz w:val="24"/>
          <w:szCs w:val="24"/>
        </w:rPr>
        <w:t>reasury</w:t>
      </w:r>
      <w:r w:rsidR="004971AF">
        <w:rPr>
          <w:rFonts w:ascii="Garamond" w:eastAsia="Calibri" w:hAnsi="Garamond" w:cs="Sanskrit Text"/>
          <w:sz w:val="24"/>
          <w:szCs w:val="24"/>
        </w:rPr>
        <w:t xml:space="preserve"> bond</w:t>
      </w:r>
      <w:r w:rsidR="0011673F">
        <w:rPr>
          <w:rFonts w:ascii="Garamond" w:eastAsia="Calibri" w:hAnsi="Garamond" w:cs="Sanskrit Text"/>
          <w:sz w:val="24"/>
          <w:szCs w:val="24"/>
        </w:rPr>
        <w:t xml:space="preserve"> yield</w:t>
      </w:r>
      <w:r w:rsidR="009E308E">
        <w:rPr>
          <w:rFonts w:ascii="Garamond" w:eastAsia="Calibri" w:hAnsi="Garamond" w:cs="Sanskrit Text"/>
          <w:sz w:val="24"/>
          <w:szCs w:val="24"/>
        </w:rPr>
        <w:t>s</w:t>
      </w:r>
      <w:r w:rsidR="0011673F">
        <w:rPr>
          <w:rFonts w:ascii="Garamond" w:eastAsia="Calibri" w:hAnsi="Garamond" w:cs="Sanskrit Text"/>
          <w:sz w:val="24"/>
          <w:szCs w:val="24"/>
        </w:rPr>
        <w:t xml:space="preserve"> reported in the final quarter of </w:t>
      </w:r>
      <w:r w:rsidR="007508ED">
        <w:rPr>
          <w:rFonts w:ascii="Garamond" w:eastAsia="Calibri" w:hAnsi="Garamond" w:cs="Sanskrit Text"/>
          <w:sz w:val="24"/>
          <w:szCs w:val="24"/>
        </w:rPr>
        <w:t>the current</w:t>
      </w:r>
      <w:r w:rsidR="0011673F">
        <w:rPr>
          <w:rFonts w:ascii="Garamond" w:eastAsia="Calibri" w:hAnsi="Garamond" w:cs="Sanskrit Text"/>
          <w:sz w:val="24"/>
          <w:szCs w:val="24"/>
        </w:rPr>
        <w:t xml:space="preserve"> year by the Federal Reserve Bank.</w:t>
      </w:r>
    </w:p>
    <w:p w14:paraId="57F6FC93" w14:textId="77777777" w:rsidR="0011673F" w:rsidRPr="001A23D9" w:rsidRDefault="0011673F" w:rsidP="0011673F">
      <w:pPr>
        <w:spacing w:after="0" w:line="259" w:lineRule="auto"/>
        <w:rPr>
          <w:rFonts w:ascii="Garamond" w:eastAsia="Calibri" w:hAnsi="Garamond" w:cs="Sanskrit Text"/>
          <w:b/>
          <w:bCs/>
          <w:sz w:val="24"/>
          <w:szCs w:val="24"/>
          <w:u w:val="single"/>
        </w:rPr>
      </w:pPr>
    </w:p>
    <w:p w14:paraId="024436F9" w14:textId="1AEDE38F" w:rsidR="0056059E" w:rsidRPr="001A23D9" w:rsidRDefault="0056059E" w:rsidP="007C4621">
      <w:pPr>
        <w:spacing w:after="0" w:line="259" w:lineRule="auto"/>
        <w:rPr>
          <w:rFonts w:ascii="Garamond" w:eastAsia="Calibri" w:hAnsi="Garamond" w:cs="Sanskrit Text"/>
          <w:b/>
          <w:bCs/>
          <w:sz w:val="24"/>
          <w:szCs w:val="24"/>
        </w:rPr>
      </w:pPr>
      <w:r w:rsidRPr="001A23D9">
        <w:rPr>
          <w:rFonts w:ascii="Garamond" w:eastAsia="Calibri" w:hAnsi="Garamond" w:cs="Sanskrit Text"/>
          <w:b/>
          <w:bCs/>
          <w:sz w:val="24"/>
          <w:szCs w:val="24"/>
        </w:rPr>
        <w:t>Flotation Cost</w:t>
      </w:r>
      <w:r w:rsidR="001B2697" w:rsidRPr="001A23D9">
        <w:rPr>
          <w:rFonts w:ascii="Garamond" w:eastAsia="Calibri" w:hAnsi="Garamond" w:cs="Sanskrit Text"/>
          <w:b/>
          <w:bCs/>
          <w:sz w:val="24"/>
          <w:szCs w:val="24"/>
        </w:rPr>
        <w:t>s</w:t>
      </w:r>
    </w:p>
    <w:p w14:paraId="365189F2" w14:textId="0672AB5A" w:rsidR="00BA1499" w:rsidRPr="001A23D9" w:rsidRDefault="0056059E" w:rsidP="00AC21F3">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Flotation costs occur when new issues of debt and equity </w:t>
      </w:r>
      <w:r w:rsidR="0045185D">
        <w:rPr>
          <w:rFonts w:ascii="Garamond" w:eastAsia="Calibri" w:hAnsi="Garamond" w:cs="Sanskrit Text"/>
          <w:sz w:val="24"/>
          <w:szCs w:val="24"/>
        </w:rPr>
        <w:t>securities</w:t>
      </w:r>
      <w:r w:rsidRPr="001A23D9">
        <w:rPr>
          <w:rFonts w:ascii="Garamond" w:eastAsia="Calibri" w:hAnsi="Garamond" w:cs="Sanskrit Text"/>
          <w:sz w:val="24"/>
          <w:szCs w:val="24"/>
        </w:rPr>
        <w:t xml:space="preserve"> are sold </w:t>
      </w:r>
      <w:r w:rsidR="0045185D">
        <w:rPr>
          <w:rFonts w:ascii="Garamond" w:eastAsia="Calibri" w:hAnsi="Garamond" w:cs="Sanskrit Text"/>
          <w:sz w:val="24"/>
          <w:szCs w:val="24"/>
        </w:rPr>
        <w:t>in the financial market</w:t>
      </w:r>
      <w:r w:rsidRPr="001A23D9">
        <w:rPr>
          <w:rFonts w:ascii="Garamond" w:eastAsia="Calibri" w:hAnsi="Garamond" w:cs="Sanskrit Text"/>
          <w:sz w:val="24"/>
          <w:szCs w:val="24"/>
        </w:rPr>
        <w:t xml:space="preserve">, </w:t>
      </w:r>
      <w:r w:rsidR="008C36CA" w:rsidRPr="001A23D9">
        <w:rPr>
          <w:rFonts w:ascii="Garamond" w:eastAsia="Calibri" w:hAnsi="Garamond" w:cs="Sanskrit Text"/>
          <w:sz w:val="24"/>
          <w:szCs w:val="24"/>
        </w:rPr>
        <w:t xml:space="preserve">with </w:t>
      </w:r>
      <w:r w:rsidRPr="001A23D9">
        <w:rPr>
          <w:rFonts w:ascii="Garamond" w:eastAsia="Calibri" w:hAnsi="Garamond" w:cs="Sanskrit Text"/>
          <w:sz w:val="24"/>
          <w:szCs w:val="24"/>
        </w:rPr>
        <w:t>the issuing firm incur</w:t>
      </w:r>
      <w:r w:rsidR="008C36CA" w:rsidRPr="001A23D9">
        <w:rPr>
          <w:rFonts w:ascii="Garamond" w:eastAsia="Calibri" w:hAnsi="Garamond" w:cs="Sanskrit Text"/>
          <w:sz w:val="24"/>
          <w:szCs w:val="24"/>
        </w:rPr>
        <w:t>ring</w:t>
      </w:r>
      <w:r w:rsidRPr="001A23D9">
        <w:rPr>
          <w:rFonts w:ascii="Garamond" w:eastAsia="Calibri" w:hAnsi="Garamond" w:cs="Sanskrit Text"/>
          <w:sz w:val="24"/>
          <w:szCs w:val="24"/>
        </w:rPr>
        <w:t xml:space="preserve"> costs such as accounting fees, legal </w:t>
      </w:r>
      <w:r w:rsidR="00AE489E" w:rsidRPr="001A23D9">
        <w:rPr>
          <w:rFonts w:ascii="Garamond" w:eastAsia="Calibri" w:hAnsi="Garamond" w:cs="Sanskrit Text"/>
          <w:sz w:val="24"/>
          <w:szCs w:val="24"/>
        </w:rPr>
        <w:t>expenses,</w:t>
      </w:r>
      <w:r w:rsidRPr="001A23D9">
        <w:rPr>
          <w:rFonts w:ascii="Garamond" w:eastAsia="Calibri" w:hAnsi="Garamond" w:cs="Sanskrit Text"/>
          <w:sz w:val="24"/>
          <w:szCs w:val="24"/>
        </w:rPr>
        <w:t xml:space="preserve"> and preparation costs.</w:t>
      </w:r>
      <w:r w:rsidR="00EB10C4" w:rsidRPr="001A23D9">
        <w:rPr>
          <w:rFonts w:ascii="Garamond" w:eastAsia="Calibri" w:hAnsi="Garamond" w:cs="Sanskrit Text"/>
          <w:sz w:val="24"/>
          <w:szCs w:val="24"/>
        </w:rPr>
        <w:t xml:space="preserve">  </w:t>
      </w:r>
      <w:r w:rsidRPr="001A23D9">
        <w:rPr>
          <w:rFonts w:ascii="Garamond" w:eastAsia="Calibri" w:hAnsi="Garamond" w:cs="Sanskrit Text"/>
          <w:sz w:val="24"/>
          <w:szCs w:val="24"/>
        </w:rPr>
        <w:t xml:space="preserve">These costs are a normal cost of doing business that reduce the proceeds received by the issuing firm much like underwriter fees and points that occurs when obtaining a mortgage.  </w:t>
      </w:r>
    </w:p>
    <w:p w14:paraId="1F2FBCFD" w14:textId="77777777" w:rsidR="00693D8A" w:rsidRPr="001A23D9" w:rsidRDefault="00BA1499" w:rsidP="00AC21F3">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Richard Simonds, PhD, points out in the Journal of Property Tax Assessment &amp; Administration</w:t>
      </w:r>
      <w:r w:rsidR="00693D8A" w:rsidRPr="001A23D9">
        <w:rPr>
          <w:rFonts w:ascii="Garamond" w:eastAsia="Calibri" w:hAnsi="Garamond" w:cs="Sanskrit Text"/>
          <w:sz w:val="24"/>
          <w:szCs w:val="24"/>
        </w:rPr>
        <w:t>:</w:t>
      </w:r>
    </w:p>
    <w:p w14:paraId="476E4BED" w14:textId="1B488D86" w:rsidR="00BA1499" w:rsidRDefault="00BA1499" w:rsidP="00B770A9">
      <w:pPr>
        <w:spacing w:after="0" w:line="259" w:lineRule="auto"/>
        <w:ind w:left="720"/>
        <w:rPr>
          <w:rFonts w:ascii="Garamond" w:eastAsia="Calibri" w:hAnsi="Garamond" w:cs="Sanskrit Text"/>
          <w:sz w:val="24"/>
          <w:szCs w:val="24"/>
        </w:rPr>
      </w:pPr>
      <w:r w:rsidRPr="001A23D9">
        <w:rPr>
          <w:rFonts w:ascii="Garamond" w:eastAsia="Calibri" w:hAnsi="Garamond" w:cs="Sanskrit Text"/>
          <w:sz w:val="24"/>
          <w:szCs w:val="24"/>
        </w:rPr>
        <w:t>“When capitalizing net operating income in the income approach, a flotation-cost adjustment cannot be applied to the cost of capital. Advocates of an adjustment may be confusing the concept of the allowed rate of return on invested capital in a rate-regulated environment with the concept of the market-determined opportunity cost of capital.”</w:t>
      </w:r>
      <w:r w:rsidRPr="001A23D9">
        <w:rPr>
          <w:rStyle w:val="FootnoteReference"/>
          <w:rFonts w:ascii="Garamond" w:eastAsia="Calibri" w:hAnsi="Garamond" w:cs="Sanskrit Text"/>
          <w:sz w:val="24"/>
          <w:szCs w:val="24"/>
        </w:rPr>
        <w:footnoteReference w:id="16"/>
      </w:r>
    </w:p>
    <w:p w14:paraId="496A1948" w14:textId="77777777" w:rsidR="00DD43B0" w:rsidRPr="001A23D9" w:rsidRDefault="00DD43B0" w:rsidP="00B770A9">
      <w:pPr>
        <w:spacing w:after="0" w:line="259" w:lineRule="auto"/>
        <w:ind w:left="720"/>
        <w:rPr>
          <w:rFonts w:ascii="Garamond" w:eastAsia="Calibri" w:hAnsi="Garamond" w:cs="Sanskrit Text"/>
          <w:sz w:val="24"/>
          <w:szCs w:val="24"/>
        </w:rPr>
      </w:pPr>
    </w:p>
    <w:p w14:paraId="123A57E0" w14:textId="1A579337" w:rsidR="000C51AF" w:rsidRPr="001A23D9" w:rsidRDefault="000C51AF" w:rsidP="00AA6A83">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Furthermore, flotation costs that are included in the discount or capitalization rate will in effect treat reinvested dollars and capital raised </w:t>
      </w:r>
      <w:r w:rsidR="00805B81" w:rsidRPr="001A23D9">
        <w:rPr>
          <w:rFonts w:ascii="Garamond" w:eastAsia="Calibri" w:hAnsi="Garamond" w:cs="Sanskrit Text"/>
          <w:sz w:val="24"/>
          <w:szCs w:val="24"/>
        </w:rPr>
        <w:t>through</w:t>
      </w:r>
      <w:r w:rsidRPr="001A23D9">
        <w:rPr>
          <w:rFonts w:ascii="Garamond" w:eastAsia="Calibri" w:hAnsi="Garamond" w:cs="Sanskrit Text"/>
          <w:sz w:val="24"/>
          <w:szCs w:val="24"/>
        </w:rPr>
        <w:t xml:space="preserve"> preemptive rights of existing stockholders as if having flotation costs when in fact no such costs exist.  The result of including flotation costs </w:t>
      </w:r>
      <w:r w:rsidR="00AC426D">
        <w:rPr>
          <w:rFonts w:ascii="Garamond" w:eastAsia="Calibri" w:hAnsi="Garamond" w:cs="Sanskrit Text"/>
          <w:sz w:val="24"/>
          <w:szCs w:val="24"/>
        </w:rPr>
        <w:t xml:space="preserve">in the discount rate </w:t>
      </w:r>
      <w:r w:rsidRPr="001A23D9">
        <w:rPr>
          <w:rFonts w:ascii="Garamond" w:eastAsia="Calibri" w:hAnsi="Garamond" w:cs="Sanskrit Text"/>
          <w:sz w:val="24"/>
          <w:szCs w:val="24"/>
        </w:rPr>
        <w:t>would contribute to understating the income approach indicator of value</w:t>
      </w:r>
      <w:r w:rsidR="00AC426D">
        <w:rPr>
          <w:rFonts w:ascii="Garamond" w:eastAsia="Calibri" w:hAnsi="Garamond" w:cs="Sanskrit Text"/>
          <w:sz w:val="24"/>
          <w:szCs w:val="24"/>
        </w:rPr>
        <w:t>.</w:t>
      </w:r>
    </w:p>
    <w:p w14:paraId="0DFDA921" w14:textId="54283387" w:rsidR="0056059E" w:rsidRPr="001A23D9" w:rsidRDefault="00E42DF5" w:rsidP="00AA6A83">
      <w:pPr>
        <w:spacing w:after="160" w:line="259" w:lineRule="auto"/>
        <w:rPr>
          <w:rFonts w:ascii="Garamond" w:eastAsia="Calibri" w:hAnsi="Garamond" w:cs="Sanskrit Text"/>
          <w:sz w:val="24"/>
          <w:szCs w:val="24"/>
        </w:rPr>
      </w:pPr>
      <w:r>
        <w:rPr>
          <w:rFonts w:ascii="Garamond" w:eastAsia="Calibri" w:hAnsi="Garamond" w:cs="Sanskrit Text"/>
          <w:sz w:val="24"/>
          <w:szCs w:val="24"/>
        </w:rPr>
        <w:t xml:space="preserve">A concern </w:t>
      </w:r>
      <w:r w:rsidR="00860751" w:rsidRPr="001A23D9">
        <w:rPr>
          <w:rFonts w:ascii="Garamond" w:eastAsia="Calibri" w:hAnsi="Garamond" w:cs="Sanskrit Text"/>
          <w:sz w:val="24"/>
          <w:szCs w:val="24"/>
        </w:rPr>
        <w:t>often debated</w:t>
      </w:r>
      <w:r w:rsidR="0056059E" w:rsidRPr="001A23D9">
        <w:rPr>
          <w:rFonts w:ascii="Garamond" w:eastAsia="Calibri" w:hAnsi="Garamond" w:cs="Sanskrit Text"/>
          <w:sz w:val="24"/>
          <w:szCs w:val="24"/>
        </w:rPr>
        <w:t xml:space="preserve"> is how these costs should be acknowledged when valuing a property.  We generally adhere to the recommendation stated below:</w:t>
      </w:r>
      <w:r w:rsidR="0056059E" w:rsidRPr="001A23D9">
        <w:rPr>
          <w:rFonts w:ascii="Garamond" w:eastAsia="Calibri" w:hAnsi="Garamond" w:cs="Sanskrit Text"/>
          <w:sz w:val="24"/>
          <w:szCs w:val="24"/>
          <w:vertAlign w:val="superscript"/>
        </w:rPr>
        <w:footnoteReference w:id="17"/>
      </w:r>
    </w:p>
    <w:p w14:paraId="3ECC4487" w14:textId="1DA30349" w:rsidR="00BE1556" w:rsidRPr="001A23D9" w:rsidRDefault="003D79AF" w:rsidP="00C615B5">
      <w:pPr>
        <w:spacing w:after="160" w:line="259" w:lineRule="auto"/>
        <w:ind w:left="720"/>
        <w:rPr>
          <w:rFonts w:ascii="Garamond" w:hAnsi="Garamond" w:cs="Sanskrit Text"/>
          <w:color w:val="000000"/>
          <w:sz w:val="24"/>
          <w:szCs w:val="24"/>
        </w:rPr>
      </w:pPr>
      <w:r w:rsidRPr="001A23D9">
        <w:rPr>
          <w:rFonts w:ascii="Garamond" w:eastAsia="Calibri" w:hAnsi="Garamond" w:cs="Sanskrit Text"/>
          <w:sz w:val="24"/>
          <w:szCs w:val="24"/>
        </w:rPr>
        <w:t>“[A]</w:t>
      </w:r>
      <w:r w:rsidR="00BA1499" w:rsidRPr="001A23D9">
        <w:rPr>
          <w:rFonts w:ascii="Garamond" w:eastAsia="Calibri" w:hAnsi="Garamond" w:cs="Sanskrit Text"/>
          <w:sz w:val="24"/>
          <w:szCs w:val="24"/>
        </w:rPr>
        <w:t>djusting for flotation costs in the rate of return is erroneous because it implicitly adjusts the opportunity cost of funds supplied to the firm.</w:t>
      </w:r>
      <w:r w:rsidR="00EB10C4" w:rsidRPr="001A23D9">
        <w:rPr>
          <w:rFonts w:ascii="Garamond" w:eastAsia="Calibri" w:hAnsi="Garamond" w:cs="Sanskrit Text"/>
          <w:sz w:val="24"/>
          <w:szCs w:val="24"/>
        </w:rPr>
        <w:t xml:space="preserve"> </w:t>
      </w:r>
      <w:r w:rsidR="00BA1499" w:rsidRPr="001A23D9">
        <w:rPr>
          <w:rFonts w:ascii="Garamond" w:eastAsia="Calibri" w:hAnsi="Garamond" w:cs="Sanskrit Text"/>
          <w:sz w:val="24"/>
          <w:szCs w:val="24"/>
        </w:rPr>
        <w:t xml:space="preserve"> The true market-determined opportunity </w:t>
      </w:r>
      <w:r w:rsidR="00BA1499" w:rsidRPr="001A23D9">
        <w:rPr>
          <w:rFonts w:ascii="Garamond" w:eastAsia="Calibri" w:hAnsi="Garamond" w:cs="Sanskrit Text"/>
          <w:sz w:val="24"/>
          <w:szCs w:val="24"/>
        </w:rPr>
        <w:lastRenderedPageBreak/>
        <w:t xml:space="preserve">cost is unaffected by the flotation costs of a particular firm. </w:t>
      </w:r>
      <w:r w:rsidR="00EB10C4" w:rsidRPr="001A23D9">
        <w:rPr>
          <w:rFonts w:ascii="Garamond" w:eastAsia="Calibri" w:hAnsi="Garamond" w:cs="Sanskrit Text"/>
          <w:sz w:val="24"/>
          <w:szCs w:val="24"/>
        </w:rPr>
        <w:t xml:space="preserve"> </w:t>
      </w:r>
      <w:r w:rsidR="00BA1499" w:rsidRPr="001A23D9">
        <w:rPr>
          <w:rFonts w:ascii="Garamond" w:eastAsia="Calibri" w:hAnsi="Garamond" w:cs="Sanskrit Text"/>
          <w:sz w:val="24"/>
          <w:szCs w:val="24"/>
        </w:rPr>
        <w:t>The correct procedure for the economic analysis of flotation costs does not alter the weighted average cost of capital.”</w:t>
      </w:r>
      <w:r w:rsidR="00BA1499" w:rsidRPr="001A23D9">
        <w:rPr>
          <w:rStyle w:val="FootnoteReference"/>
          <w:rFonts w:ascii="Garamond" w:eastAsia="Calibri" w:hAnsi="Garamond" w:cs="Sanskrit Text"/>
          <w:sz w:val="24"/>
          <w:szCs w:val="24"/>
        </w:rPr>
        <w:footnoteReference w:id="18"/>
      </w:r>
    </w:p>
    <w:p w14:paraId="0C232282" w14:textId="12E6CE69" w:rsidR="00536CD2" w:rsidRDefault="00BE1556" w:rsidP="00EB2455">
      <w:pPr>
        <w:spacing w:after="0" w:line="259" w:lineRule="auto"/>
        <w:rPr>
          <w:rFonts w:ascii="Garamond" w:eastAsia="Calibri" w:hAnsi="Garamond" w:cs="Sanskrit Text"/>
          <w:sz w:val="24"/>
          <w:szCs w:val="24"/>
        </w:rPr>
      </w:pPr>
      <w:r w:rsidRPr="001A23D9">
        <w:rPr>
          <w:rFonts w:ascii="Garamond" w:hAnsi="Garamond" w:cs="Sanskrit Text"/>
          <w:color w:val="000000"/>
          <w:sz w:val="24"/>
          <w:szCs w:val="24"/>
        </w:rPr>
        <w:t>In other words, f</w:t>
      </w:r>
      <w:r w:rsidRPr="001A23D9">
        <w:rPr>
          <w:rFonts w:ascii="Garamond" w:eastAsia="Calibri" w:hAnsi="Garamond" w:cs="Sanskrit Text"/>
          <w:sz w:val="24"/>
          <w:szCs w:val="24"/>
        </w:rPr>
        <w:t xml:space="preserve">lotation costs represent a negative cash flow </w:t>
      </w:r>
      <w:r w:rsidR="00E8056A" w:rsidRPr="001A23D9">
        <w:rPr>
          <w:rFonts w:ascii="Garamond" w:eastAsia="Calibri" w:hAnsi="Garamond" w:cs="Sanskrit Text"/>
          <w:sz w:val="24"/>
          <w:szCs w:val="24"/>
        </w:rPr>
        <w:t xml:space="preserve">and can </w:t>
      </w:r>
      <w:r w:rsidRPr="001A23D9">
        <w:rPr>
          <w:rFonts w:ascii="Garamond" w:eastAsia="Calibri" w:hAnsi="Garamond" w:cs="Sanskrit Text"/>
          <w:sz w:val="24"/>
          <w:szCs w:val="24"/>
        </w:rPr>
        <w:t>be accounted for as such</w:t>
      </w:r>
      <w:r w:rsidR="00E8056A" w:rsidRPr="001A23D9">
        <w:rPr>
          <w:rFonts w:ascii="Garamond" w:eastAsia="Calibri" w:hAnsi="Garamond" w:cs="Sanskrit Text"/>
          <w:sz w:val="24"/>
          <w:szCs w:val="24"/>
        </w:rPr>
        <w:t>,</w:t>
      </w:r>
      <w:r w:rsidR="005C3E9A" w:rsidRPr="001A23D9">
        <w:rPr>
          <w:rFonts w:ascii="Garamond" w:eastAsia="Calibri" w:hAnsi="Garamond" w:cs="Sanskrit Text"/>
          <w:sz w:val="24"/>
          <w:szCs w:val="24"/>
        </w:rPr>
        <w:t xml:space="preserve"> </w:t>
      </w:r>
      <w:r w:rsidRPr="001A23D9">
        <w:rPr>
          <w:rFonts w:ascii="Garamond" w:eastAsia="Calibri" w:hAnsi="Garamond" w:cs="Sanskrit Text"/>
          <w:sz w:val="24"/>
          <w:szCs w:val="24"/>
        </w:rPr>
        <w:t xml:space="preserve">if they </w:t>
      </w:r>
      <w:r w:rsidR="00E8056A" w:rsidRPr="001A23D9">
        <w:rPr>
          <w:rFonts w:ascii="Garamond" w:eastAsia="Calibri" w:hAnsi="Garamond" w:cs="Sanskrit Text"/>
          <w:sz w:val="24"/>
          <w:szCs w:val="24"/>
        </w:rPr>
        <w:t>are</w:t>
      </w:r>
      <w:r w:rsidRPr="001A23D9">
        <w:rPr>
          <w:rFonts w:ascii="Garamond" w:eastAsia="Calibri" w:hAnsi="Garamond" w:cs="Sanskrit Text"/>
          <w:sz w:val="24"/>
          <w:szCs w:val="24"/>
        </w:rPr>
        <w:t xml:space="preserve"> a part of the normal outflow of cash for a given company.</w:t>
      </w:r>
    </w:p>
    <w:p w14:paraId="3B895009" w14:textId="77777777" w:rsidR="00EB2455" w:rsidRDefault="00EB2455" w:rsidP="00EB2455">
      <w:pPr>
        <w:spacing w:after="0" w:line="259" w:lineRule="auto"/>
        <w:rPr>
          <w:rFonts w:ascii="Garamond" w:eastAsia="Calibri" w:hAnsi="Garamond" w:cs="Sanskrit Text"/>
          <w:b/>
          <w:bCs/>
          <w:sz w:val="24"/>
          <w:szCs w:val="24"/>
        </w:rPr>
      </w:pPr>
    </w:p>
    <w:p w14:paraId="23482982" w14:textId="3AEF8841" w:rsidR="0056059E" w:rsidRDefault="0056059E" w:rsidP="007C4621">
      <w:pPr>
        <w:spacing w:after="0" w:line="259" w:lineRule="auto"/>
        <w:rPr>
          <w:rFonts w:ascii="Garamond" w:eastAsia="Calibri" w:hAnsi="Garamond" w:cs="Sanskrit Text"/>
          <w:b/>
          <w:bCs/>
          <w:sz w:val="24"/>
          <w:szCs w:val="24"/>
        </w:rPr>
      </w:pPr>
      <w:r w:rsidRPr="001A23D9">
        <w:rPr>
          <w:rFonts w:ascii="Garamond" w:eastAsia="Calibri" w:hAnsi="Garamond" w:cs="Sanskrit Text"/>
          <w:b/>
          <w:bCs/>
          <w:sz w:val="24"/>
          <w:szCs w:val="24"/>
        </w:rPr>
        <w:t xml:space="preserve">Market Cost of Equity vs. Allowed </w:t>
      </w:r>
      <w:r w:rsidR="00520B91" w:rsidRPr="001A23D9">
        <w:rPr>
          <w:rFonts w:ascii="Garamond" w:eastAsia="Calibri" w:hAnsi="Garamond" w:cs="Sanskrit Text"/>
          <w:b/>
          <w:bCs/>
          <w:sz w:val="24"/>
          <w:szCs w:val="24"/>
        </w:rPr>
        <w:t>Return on Equity</w:t>
      </w:r>
    </w:p>
    <w:p w14:paraId="6CE5042B" w14:textId="0FDDD617" w:rsidR="0048309E" w:rsidRPr="001A23D9" w:rsidRDefault="0048309E" w:rsidP="00AA6A83">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The allowed rate of return is a form of price setting decided by governing bodies that regulate rates and services of public utilities. </w:t>
      </w:r>
      <w:r w:rsidR="00665445" w:rsidRPr="001A23D9">
        <w:rPr>
          <w:rFonts w:ascii="Garamond" w:eastAsia="Calibri" w:hAnsi="Garamond" w:cs="Sanskrit Text"/>
          <w:sz w:val="24"/>
          <w:szCs w:val="24"/>
        </w:rPr>
        <w:t xml:space="preserve"> </w:t>
      </w:r>
      <w:r w:rsidR="00EC3378" w:rsidRPr="001A23D9">
        <w:rPr>
          <w:rFonts w:ascii="Garamond" w:eastAsia="Calibri" w:hAnsi="Garamond" w:cs="Sanskrit Text"/>
          <w:sz w:val="24"/>
          <w:szCs w:val="24"/>
        </w:rPr>
        <w:t>Its determination is often influenced by elected and appointed officials, politics</w:t>
      </w:r>
      <w:r w:rsidR="00F90C8B" w:rsidRPr="001A23D9">
        <w:rPr>
          <w:rFonts w:ascii="Garamond" w:eastAsia="Calibri" w:hAnsi="Garamond" w:cs="Sanskrit Text"/>
          <w:sz w:val="24"/>
          <w:szCs w:val="24"/>
        </w:rPr>
        <w:t>, environmental considerations,</w:t>
      </w:r>
      <w:r w:rsidR="00EC3378" w:rsidRPr="001A23D9">
        <w:rPr>
          <w:rFonts w:ascii="Garamond" w:eastAsia="Calibri" w:hAnsi="Garamond" w:cs="Sanskrit Text"/>
          <w:sz w:val="24"/>
          <w:szCs w:val="24"/>
        </w:rPr>
        <w:t xml:space="preserve"> and negotiated settlements.   </w:t>
      </w:r>
      <w:r w:rsidRPr="001A23D9">
        <w:rPr>
          <w:rFonts w:ascii="Garamond" w:eastAsia="Calibri" w:hAnsi="Garamond" w:cs="Sanskrit Text"/>
          <w:sz w:val="24"/>
          <w:szCs w:val="24"/>
        </w:rPr>
        <w:t xml:space="preserve">Investor-owned utilities operate as natural </w:t>
      </w:r>
      <w:r w:rsidR="00BC2206" w:rsidRPr="001A23D9">
        <w:rPr>
          <w:rFonts w:ascii="Garamond" w:eastAsia="Calibri" w:hAnsi="Garamond" w:cs="Sanskrit Text"/>
          <w:sz w:val="24"/>
          <w:szCs w:val="24"/>
        </w:rPr>
        <w:t>monopolies,</w:t>
      </w:r>
      <w:r w:rsidR="007B0189" w:rsidRPr="001A23D9">
        <w:rPr>
          <w:rFonts w:ascii="Garamond" w:eastAsia="Calibri" w:hAnsi="Garamond" w:cs="Sanskrit Text"/>
          <w:sz w:val="24"/>
          <w:szCs w:val="24"/>
        </w:rPr>
        <w:t xml:space="preserve"> and </w:t>
      </w:r>
      <w:r w:rsidRPr="001A23D9">
        <w:rPr>
          <w:rFonts w:ascii="Garamond" w:eastAsia="Calibri" w:hAnsi="Garamond" w:cs="Sanskrit Text"/>
          <w:sz w:val="24"/>
          <w:szCs w:val="24"/>
        </w:rPr>
        <w:t xml:space="preserve">the allowed rate of return is used as a substitute for the effects of a competitive market on </w:t>
      </w:r>
      <w:r w:rsidR="00B22AA3" w:rsidRPr="001A23D9">
        <w:rPr>
          <w:rFonts w:ascii="Garamond" w:eastAsia="Calibri" w:hAnsi="Garamond" w:cs="Sanskrit Text"/>
          <w:sz w:val="24"/>
          <w:szCs w:val="24"/>
        </w:rPr>
        <w:t>shareholder</w:t>
      </w:r>
      <w:r w:rsidRPr="001A23D9">
        <w:rPr>
          <w:rFonts w:ascii="Garamond" w:eastAsia="Calibri" w:hAnsi="Garamond" w:cs="Sanskrit Text"/>
          <w:sz w:val="24"/>
          <w:szCs w:val="24"/>
        </w:rPr>
        <w:t xml:space="preserve"> returns and </w:t>
      </w:r>
      <w:r w:rsidR="00ED28DE" w:rsidRPr="001A23D9">
        <w:rPr>
          <w:rFonts w:ascii="Garamond" w:eastAsia="Calibri" w:hAnsi="Garamond" w:cs="Sanskrit Text"/>
          <w:sz w:val="24"/>
          <w:szCs w:val="24"/>
        </w:rPr>
        <w:t>rate-payer</w:t>
      </w:r>
      <w:r w:rsidRPr="001A23D9">
        <w:rPr>
          <w:rFonts w:ascii="Garamond" w:eastAsia="Calibri" w:hAnsi="Garamond" w:cs="Sanskrit Text"/>
          <w:sz w:val="24"/>
          <w:szCs w:val="24"/>
        </w:rPr>
        <w:t xml:space="preserve"> prices.</w:t>
      </w:r>
      <w:r w:rsidR="00F90C8B" w:rsidRPr="001A23D9">
        <w:rPr>
          <w:rFonts w:ascii="Garamond" w:eastAsia="Calibri" w:hAnsi="Garamond" w:cs="Sanskrit Text"/>
          <w:sz w:val="24"/>
          <w:szCs w:val="24"/>
        </w:rPr>
        <w:t xml:space="preserve"> The </w:t>
      </w:r>
      <w:r w:rsidR="00BC2206" w:rsidRPr="001A23D9">
        <w:rPr>
          <w:rFonts w:ascii="Garamond" w:eastAsia="Calibri" w:hAnsi="Garamond" w:cs="Sanskrit Text"/>
          <w:sz w:val="24"/>
          <w:szCs w:val="24"/>
        </w:rPr>
        <w:t>job</w:t>
      </w:r>
      <w:r w:rsidR="00F90C8B" w:rsidRPr="001A23D9">
        <w:rPr>
          <w:rFonts w:ascii="Garamond" w:eastAsia="Calibri" w:hAnsi="Garamond" w:cs="Sanskrit Text"/>
          <w:sz w:val="24"/>
          <w:szCs w:val="24"/>
        </w:rPr>
        <w:t xml:space="preserve"> of the regulator is </w:t>
      </w:r>
      <w:r w:rsidR="00BC2206" w:rsidRPr="001A23D9">
        <w:rPr>
          <w:rFonts w:ascii="Garamond" w:eastAsia="Calibri" w:hAnsi="Garamond" w:cs="Sanskrit Text"/>
          <w:sz w:val="24"/>
          <w:szCs w:val="24"/>
        </w:rPr>
        <w:t xml:space="preserve">to attempt </w:t>
      </w:r>
      <w:r w:rsidR="00F90C8B" w:rsidRPr="001A23D9">
        <w:rPr>
          <w:rFonts w:ascii="Garamond" w:eastAsia="Calibri" w:hAnsi="Garamond" w:cs="Sanskrit Text"/>
          <w:sz w:val="24"/>
          <w:szCs w:val="24"/>
        </w:rPr>
        <w:t xml:space="preserve">to </w:t>
      </w:r>
      <w:r w:rsidR="00BC2206" w:rsidRPr="001A23D9">
        <w:rPr>
          <w:rFonts w:ascii="Garamond" w:eastAsia="Calibri" w:hAnsi="Garamond" w:cs="Sanskrit Text"/>
          <w:sz w:val="24"/>
          <w:szCs w:val="24"/>
        </w:rPr>
        <w:t>strike</w:t>
      </w:r>
      <w:r w:rsidR="00F90C8B" w:rsidRPr="001A23D9">
        <w:rPr>
          <w:rFonts w:ascii="Garamond" w:eastAsia="Calibri" w:hAnsi="Garamond" w:cs="Sanskrit Text"/>
          <w:sz w:val="24"/>
          <w:szCs w:val="24"/>
        </w:rPr>
        <w:t xml:space="preserve"> a balance </w:t>
      </w:r>
      <w:r w:rsidR="00BC2206" w:rsidRPr="001A23D9">
        <w:rPr>
          <w:rFonts w:ascii="Garamond" w:eastAsia="Calibri" w:hAnsi="Garamond" w:cs="Sanskrit Text"/>
          <w:sz w:val="24"/>
          <w:szCs w:val="24"/>
        </w:rPr>
        <w:t xml:space="preserve">between the interests of </w:t>
      </w:r>
      <w:r w:rsidR="005D3E51" w:rsidRPr="001A23D9">
        <w:rPr>
          <w:rFonts w:ascii="Garamond" w:eastAsia="Calibri" w:hAnsi="Garamond" w:cs="Sanskrit Text"/>
          <w:sz w:val="24"/>
          <w:szCs w:val="24"/>
        </w:rPr>
        <w:t>several</w:t>
      </w:r>
      <w:r w:rsidR="00F90C8B" w:rsidRPr="001A23D9">
        <w:rPr>
          <w:rFonts w:ascii="Garamond" w:eastAsia="Calibri" w:hAnsi="Garamond" w:cs="Sanskrit Text"/>
          <w:sz w:val="24"/>
          <w:szCs w:val="24"/>
        </w:rPr>
        <w:t xml:space="preserve"> stakeholders.</w:t>
      </w:r>
    </w:p>
    <w:p w14:paraId="0039A5CE" w14:textId="3E45D6D2" w:rsidR="001B105F" w:rsidRPr="001A23D9" w:rsidRDefault="001B105F" w:rsidP="00AA6A83">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The differing objectives and principles behind the calculati</w:t>
      </w:r>
      <w:r w:rsidR="0029765B" w:rsidRPr="001A23D9">
        <w:rPr>
          <w:rFonts w:ascii="Garamond" w:eastAsia="Calibri" w:hAnsi="Garamond" w:cs="Sanskrit Text"/>
          <w:sz w:val="24"/>
          <w:szCs w:val="24"/>
        </w:rPr>
        <w:t>on</w:t>
      </w:r>
      <w:r w:rsidRPr="001A23D9">
        <w:rPr>
          <w:rFonts w:ascii="Garamond" w:eastAsia="Calibri" w:hAnsi="Garamond" w:cs="Sanskrit Text"/>
          <w:sz w:val="24"/>
          <w:szCs w:val="24"/>
        </w:rPr>
        <w:t xml:space="preserve"> of the market cost of equity and the allowed rate of return are what </w:t>
      </w:r>
      <w:r w:rsidR="00ED28DE" w:rsidRPr="001A23D9">
        <w:rPr>
          <w:rFonts w:ascii="Garamond" w:eastAsia="Calibri" w:hAnsi="Garamond" w:cs="Sanskrit Text"/>
          <w:sz w:val="24"/>
          <w:szCs w:val="24"/>
        </w:rPr>
        <w:t>set</w:t>
      </w:r>
      <w:r w:rsidRPr="001A23D9">
        <w:rPr>
          <w:rFonts w:ascii="Garamond" w:eastAsia="Calibri" w:hAnsi="Garamond" w:cs="Sanskrit Text"/>
          <w:sz w:val="24"/>
          <w:szCs w:val="24"/>
        </w:rPr>
        <w:t xml:space="preserve"> them apart from one another.  The allowed </w:t>
      </w:r>
      <w:r w:rsidR="00802FB5" w:rsidRPr="001A23D9">
        <w:rPr>
          <w:rFonts w:ascii="Garamond" w:eastAsia="Calibri" w:hAnsi="Garamond" w:cs="Sanskrit Text"/>
          <w:sz w:val="24"/>
          <w:szCs w:val="24"/>
        </w:rPr>
        <w:t>return on equity</w:t>
      </w:r>
      <w:r w:rsidRPr="001A23D9">
        <w:rPr>
          <w:rFonts w:ascii="Garamond" w:eastAsia="Calibri" w:hAnsi="Garamond" w:cs="Sanskrit Text"/>
          <w:sz w:val="24"/>
          <w:szCs w:val="24"/>
        </w:rPr>
        <w:t xml:space="preserve"> is a</w:t>
      </w:r>
      <w:r w:rsidR="00CF6A7C" w:rsidRPr="001A23D9">
        <w:rPr>
          <w:rFonts w:ascii="Garamond" w:eastAsia="Calibri" w:hAnsi="Garamond" w:cs="Sanskrit Text"/>
          <w:sz w:val="24"/>
          <w:szCs w:val="24"/>
        </w:rPr>
        <w:t>n</w:t>
      </w:r>
      <w:r w:rsidR="00FF2CB9" w:rsidRPr="001A23D9">
        <w:rPr>
          <w:rFonts w:ascii="Garamond" w:eastAsia="Calibri" w:hAnsi="Garamond" w:cs="Sanskrit Text"/>
          <w:sz w:val="24"/>
          <w:szCs w:val="24"/>
        </w:rPr>
        <w:t xml:space="preserve"> often</w:t>
      </w:r>
      <w:r w:rsidR="00DD43B0">
        <w:rPr>
          <w:rFonts w:ascii="Garamond" w:eastAsia="Calibri" w:hAnsi="Garamond" w:cs="Sanskrit Text"/>
          <w:sz w:val="24"/>
          <w:szCs w:val="24"/>
        </w:rPr>
        <w:t>-</w:t>
      </w:r>
      <w:r w:rsidR="00FF2CB9" w:rsidRPr="001A23D9">
        <w:rPr>
          <w:rFonts w:ascii="Garamond" w:eastAsia="Calibri" w:hAnsi="Garamond" w:cs="Sanskrit Text"/>
          <w:sz w:val="24"/>
          <w:szCs w:val="24"/>
        </w:rPr>
        <w:t>negotiated</w:t>
      </w:r>
      <w:r w:rsidRPr="001A23D9">
        <w:rPr>
          <w:rFonts w:ascii="Garamond" w:eastAsia="Calibri" w:hAnsi="Garamond" w:cs="Sanskrit Text"/>
          <w:sz w:val="24"/>
          <w:szCs w:val="24"/>
        </w:rPr>
        <w:t xml:space="preserve"> benchmark for a fair rate of return on investment for a utility; while the market cost of equity is the minimum return o</w:t>
      </w:r>
      <w:r w:rsidR="00037070" w:rsidRPr="001A23D9">
        <w:rPr>
          <w:rFonts w:ascii="Garamond" w:eastAsia="Calibri" w:hAnsi="Garamond" w:cs="Sanskrit Text"/>
          <w:sz w:val="24"/>
          <w:szCs w:val="24"/>
        </w:rPr>
        <w:t xml:space="preserve">n </w:t>
      </w:r>
      <w:r w:rsidRPr="001A23D9">
        <w:rPr>
          <w:rFonts w:ascii="Garamond" w:eastAsia="Calibri" w:hAnsi="Garamond" w:cs="Sanskrit Text"/>
          <w:sz w:val="24"/>
          <w:szCs w:val="24"/>
        </w:rPr>
        <w:t>equity</w:t>
      </w:r>
      <w:r w:rsidR="00037070" w:rsidRPr="001A23D9">
        <w:rPr>
          <w:rFonts w:ascii="Garamond" w:eastAsia="Calibri" w:hAnsi="Garamond" w:cs="Sanskrit Text"/>
          <w:sz w:val="24"/>
          <w:szCs w:val="24"/>
        </w:rPr>
        <w:t xml:space="preserve"> </w:t>
      </w:r>
      <w:r w:rsidR="007B6A0B" w:rsidRPr="001A23D9">
        <w:rPr>
          <w:rFonts w:ascii="Garamond" w:eastAsia="Calibri" w:hAnsi="Garamond" w:cs="Sanskrit Text"/>
          <w:sz w:val="24"/>
          <w:szCs w:val="24"/>
        </w:rPr>
        <w:t>required by a</w:t>
      </w:r>
      <w:r w:rsidRPr="001A23D9">
        <w:rPr>
          <w:rFonts w:ascii="Garamond" w:eastAsia="Calibri" w:hAnsi="Garamond" w:cs="Sanskrit Text"/>
          <w:sz w:val="24"/>
          <w:szCs w:val="24"/>
        </w:rPr>
        <w:t xml:space="preserve"> shareholder looking to invest in a firm with similar risk.  In his text, The Economics of Regulation, Alfred Kahn argues that the cost of equity is the starting point, not the end goal, in setting the rate of return.</w:t>
      </w:r>
      <w:r w:rsidR="00EB10C4" w:rsidRPr="001A23D9">
        <w:rPr>
          <w:rFonts w:ascii="Garamond" w:eastAsia="Calibri" w:hAnsi="Garamond" w:cs="Sanskrit Text"/>
          <w:sz w:val="24"/>
          <w:szCs w:val="24"/>
        </w:rPr>
        <w:t xml:space="preserve"> </w:t>
      </w:r>
      <w:r w:rsidRPr="001A23D9">
        <w:rPr>
          <w:rFonts w:ascii="Garamond" w:eastAsia="Calibri" w:hAnsi="Garamond" w:cs="Sanskrit Text"/>
          <w:sz w:val="24"/>
          <w:szCs w:val="24"/>
        </w:rPr>
        <w:t xml:space="preserve"> Kahn also suggests that regulatory policies should create incentives for utilities to innovate, which aligns well with the </w:t>
      </w:r>
      <w:r w:rsidR="00581435" w:rsidRPr="001A23D9">
        <w:rPr>
          <w:rFonts w:ascii="Garamond" w:eastAsia="Calibri" w:hAnsi="Garamond" w:cs="Sanskrit Text"/>
          <w:sz w:val="24"/>
          <w:szCs w:val="24"/>
        </w:rPr>
        <w:t xml:space="preserve">regulatory </w:t>
      </w:r>
      <w:r w:rsidRPr="001A23D9">
        <w:rPr>
          <w:rFonts w:ascii="Garamond" w:eastAsia="Calibri" w:hAnsi="Garamond" w:cs="Sanskrit Text"/>
          <w:sz w:val="24"/>
          <w:szCs w:val="24"/>
        </w:rPr>
        <w:t xml:space="preserve">goal of </w:t>
      </w:r>
      <w:r w:rsidR="0031703C" w:rsidRPr="001A23D9">
        <w:rPr>
          <w:rFonts w:ascii="Garamond" w:eastAsia="Calibri" w:hAnsi="Garamond" w:cs="Sanskrit Text"/>
          <w:sz w:val="24"/>
          <w:szCs w:val="24"/>
        </w:rPr>
        <w:t xml:space="preserve">balancing </w:t>
      </w:r>
      <w:r w:rsidRPr="001A23D9">
        <w:rPr>
          <w:rFonts w:ascii="Garamond" w:eastAsia="Calibri" w:hAnsi="Garamond" w:cs="Sanskrit Text"/>
          <w:sz w:val="24"/>
          <w:szCs w:val="24"/>
        </w:rPr>
        <w:t xml:space="preserve">shareholder and </w:t>
      </w:r>
      <w:r w:rsidR="00581435" w:rsidRPr="001A23D9">
        <w:rPr>
          <w:rFonts w:ascii="Garamond" w:eastAsia="Calibri" w:hAnsi="Garamond" w:cs="Sanskrit Text"/>
          <w:sz w:val="24"/>
          <w:szCs w:val="24"/>
        </w:rPr>
        <w:t>ratepayer interests</w:t>
      </w:r>
      <w:r w:rsidRPr="001A23D9">
        <w:rPr>
          <w:rFonts w:ascii="Garamond" w:eastAsia="Calibri" w:hAnsi="Garamond" w:cs="Sanskrit Text"/>
          <w:sz w:val="24"/>
          <w:szCs w:val="24"/>
        </w:rPr>
        <w:t>.</w:t>
      </w:r>
    </w:p>
    <w:p w14:paraId="72EAD693" w14:textId="4FAEE45F" w:rsidR="0056059E" w:rsidRPr="001A23D9" w:rsidRDefault="007C4621" w:rsidP="0073190C">
      <w:pPr>
        <w:spacing w:after="160" w:line="240" w:lineRule="auto"/>
        <w:ind w:left="720"/>
        <w:rPr>
          <w:rFonts w:ascii="Garamond" w:eastAsia="Calibri" w:hAnsi="Garamond" w:cs="Sanskrit Text"/>
          <w:sz w:val="24"/>
          <w:szCs w:val="24"/>
        </w:rPr>
      </w:pPr>
      <w:r w:rsidRPr="001A23D9">
        <w:rPr>
          <w:rFonts w:ascii="Garamond" w:eastAsia="Calibri" w:hAnsi="Garamond" w:cs="Sanskrit Text"/>
          <w:sz w:val="24"/>
          <w:szCs w:val="24"/>
        </w:rPr>
        <w:t>“</w:t>
      </w:r>
      <w:r w:rsidR="0056059E" w:rsidRPr="001A23D9">
        <w:rPr>
          <w:rFonts w:ascii="Garamond" w:eastAsia="Calibri" w:hAnsi="Garamond" w:cs="Sanskrit Text"/>
          <w:sz w:val="24"/>
          <w:szCs w:val="24"/>
        </w:rPr>
        <w:t xml:space="preserve">Many in the regulatory community believe that the utility’s rate of return is the sole value driver, and that rates of return are set at the cost of equity. Neither of these perceptions is </w:t>
      </w:r>
      <w:r w:rsidR="00AA6A83" w:rsidRPr="001A23D9">
        <w:rPr>
          <w:rFonts w:ascii="Garamond" w:eastAsia="Calibri" w:hAnsi="Garamond" w:cs="Sanskrit Text"/>
          <w:sz w:val="24"/>
          <w:szCs w:val="24"/>
        </w:rPr>
        <w:t>c</w:t>
      </w:r>
      <w:r w:rsidR="0056059E" w:rsidRPr="001A23D9">
        <w:rPr>
          <w:rFonts w:ascii="Garamond" w:eastAsia="Calibri" w:hAnsi="Garamond" w:cs="Sanskrit Text"/>
          <w:sz w:val="24"/>
          <w:szCs w:val="24"/>
        </w:rPr>
        <w:t>orrect. Instead, the financial “value engine”—the difference between a utility’s return on investment and its cost of capital—drives shareholder returns.</w:t>
      </w:r>
      <w:r w:rsidRPr="001A23D9">
        <w:rPr>
          <w:rFonts w:ascii="Garamond" w:eastAsia="Calibri" w:hAnsi="Garamond" w:cs="Sanskrit Text"/>
          <w:sz w:val="24"/>
          <w:szCs w:val="24"/>
        </w:rPr>
        <w:t>”</w:t>
      </w:r>
      <w:r w:rsidR="0056059E" w:rsidRPr="001A23D9">
        <w:rPr>
          <w:rFonts w:ascii="Garamond" w:eastAsia="Calibri" w:hAnsi="Garamond" w:cs="Sanskrit Text"/>
          <w:sz w:val="24"/>
          <w:szCs w:val="24"/>
          <w:vertAlign w:val="superscript"/>
        </w:rPr>
        <w:footnoteReference w:id="19"/>
      </w:r>
    </w:p>
    <w:p w14:paraId="6F38D9F2" w14:textId="3E1F64F0" w:rsidR="00CF5224" w:rsidRPr="001A23D9" w:rsidRDefault="00CF5224" w:rsidP="0073190C">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The relationship between allowed rates of return and rates used in valuation has been </w:t>
      </w:r>
      <w:r w:rsidR="00BD1D2B" w:rsidRPr="001A23D9">
        <w:rPr>
          <w:rFonts w:ascii="Garamond" w:eastAsia="Calibri" w:hAnsi="Garamond" w:cs="Sanskrit Text"/>
          <w:sz w:val="24"/>
          <w:szCs w:val="24"/>
        </w:rPr>
        <w:t>addressed</w:t>
      </w:r>
      <w:r w:rsidRPr="001A23D9">
        <w:rPr>
          <w:rFonts w:ascii="Garamond" w:eastAsia="Calibri" w:hAnsi="Garamond" w:cs="Sanskrit Text"/>
          <w:sz w:val="24"/>
          <w:szCs w:val="24"/>
        </w:rPr>
        <w:t xml:space="preserve"> in courts across the U.S.  As recently as 2020, Utah Second District Court, had this to say: </w:t>
      </w:r>
    </w:p>
    <w:p w14:paraId="6DE30181" w14:textId="1927BF08" w:rsidR="0056059E" w:rsidRPr="001A23D9" w:rsidRDefault="0073190C" w:rsidP="0073190C">
      <w:pPr>
        <w:spacing w:after="160" w:line="259" w:lineRule="auto"/>
        <w:ind w:left="720"/>
        <w:rPr>
          <w:rFonts w:ascii="Garamond" w:eastAsia="Calibri" w:hAnsi="Garamond" w:cs="Sanskrit Text"/>
          <w:i/>
          <w:iCs/>
          <w:sz w:val="24"/>
          <w:szCs w:val="24"/>
        </w:rPr>
      </w:pPr>
      <w:r w:rsidRPr="001A23D9">
        <w:rPr>
          <w:rFonts w:ascii="Garamond" w:eastAsia="Calibri" w:hAnsi="Garamond" w:cs="Sanskrit Text"/>
          <w:sz w:val="24"/>
          <w:szCs w:val="24"/>
        </w:rPr>
        <w:t>“</w:t>
      </w:r>
      <w:r w:rsidR="0056059E" w:rsidRPr="001A23D9">
        <w:rPr>
          <w:rFonts w:ascii="Garamond" w:eastAsia="Calibri" w:hAnsi="Garamond" w:cs="Sanskrit Text"/>
          <w:sz w:val="24"/>
          <w:szCs w:val="24"/>
        </w:rPr>
        <w:t>Authorized returns on equity are neither correlated to nor determinative of the calculation of the cost of equity for valuation purposes.  The cost-of-equity rates</w:t>
      </w:r>
      <w:r w:rsidR="0056059E" w:rsidRPr="001A23D9">
        <w:rPr>
          <w:rFonts w:ascii="Garamond" w:eastAsia="Calibri" w:hAnsi="Garamond" w:cs="Sanskrit Text"/>
          <w:i/>
          <w:iCs/>
          <w:sz w:val="24"/>
          <w:szCs w:val="24"/>
        </w:rPr>
        <w:t xml:space="preserve"> </w:t>
      </w:r>
      <w:r w:rsidR="0056059E" w:rsidRPr="001A23D9">
        <w:rPr>
          <w:rFonts w:ascii="Garamond" w:eastAsia="Calibri" w:hAnsi="Garamond" w:cs="Sanskrit Text"/>
          <w:sz w:val="24"/>
          <w:szCs w:val="24"/>
        </w:rPr>
        <w:t xml:space="preserve">calculated in rate cases serve the regulatory purpose of setting </w:t>
      </w:r>
      <w:r w:rsidRPr="001A23D9">
        <w:rPr>
          <w:rFonts w:ascii="Garamond" w:eastAsia="Calibri" w:hAnsi="Garamond" w:cs="Sanskrit Text"/>
          <w:sz w:val="24"/>
          <w:szCs w:val="24"/>
        </w:rPr>
        <w:t>rates but</w:t>
      </w:r>
      <w:r w:rsidR="0056059E" w:rsidRPr="001A23D9">
        <w:rPr>
          <w:rFonts w:ascii="Garamond" w:eastAsia="Calibri" w:hAnsi="Garamond" w:cs="Sanskrit Text"/>
          <w:sz w:val="24"/>
          <w:szCs w:val="24"/>
        </w:rPr>
        <w:t xml:space="preserve"> are not appropriate to establish value in a long-term perpetuity cash flow model.</w:t>
      </w:r>
      <w:r w:rsidRPr="001A23D9">
        <w:rPr>
          <w:rFonts w:ascii="Garamond" w:eastAsia="Calibri" w:hAnsi="Garamond" w:cs="Sanskrit Text"/>
          <w:sz w:val="24"/>
          <w:szCs w:val="24"/>
        </w:rPr>
        <w:t>”</w:t>
      </w:r>
      <w:r w:rsidR="0056059E" w:rsidRPr="001A23D9">
        <w:rPr>
          <w:rFonts w:ascii="Garamond" w:eastAsia="Calibri" w:hAnsi="Garamond" w:cs="Sanskrit Text"/>
          <w:sz w:val="24"/>
          <w:szCs w:val="24"/>
          <w:vertAlign w:val="superscript"/>
        </w:rPr>
        <w:footnoteReference w:id="20"/>
      </w:r>
      <w:r w:rsidR="0056059E" w:rsidRPr="001A23D9">
        <w:rPr>
          <w:rFonts w:ascii="Garamond" w:eastAsia="Calibri" w:hAnsi="Garamond" w:cs="Sanskrit Text"/>
          <w:i/>
          <w:iCs/>
          <w:sz w:val="24"/>
          <w:szCs w:val="24"/>
        </w:rPr>
        <w:t>  </w:t>
      </w:r>
    </w:p>
    <w:p w14:paraId="69A6E03C" w14:textId="4509B8D5" w:rsidR="005F43ED" w:rsidRPr="001A23D9" w:rsidRDefault="005F43ED" w:rsidP="007C4621">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Utility industry economist Leonard Hyman puts it most succinctly below:</w:t>
      </w:r>
    </w:p>
    <w:p w14:paraId="40881F66" w14:textId="46589E50" w:rsidR="005F43ED" w:rsidRPr="001A23D9" w:rsidRDefault="005F43ED" w:rsidP="005F43ED">
      <w:pPr>
        <w:spacing w:after="160" w:line="259" w:lineRule="auto"/>
        <w:ind w:firstLine="720"/>
        <w:rPr>
          <w:rFonts w:ascii="Garamond" w:eastAsia="Calibri" w:hAnsi="Garamond" w:cs="Sanskrit Text"/>
          <w:sz w:val="24"/>
          <w:szCs w:val="24"/>
        </w:rPr>
      </w:pPr>
      <w:r w:rsidRPr="001A23D9">
        <w:rPr>
          <w:rFonts w:ascii="Garamond" w:eastAsia="Calibri" w:hAnsi="Garamond" w:cs="Sanskrit Text"/>
          <w:sz w:val="24"/>
          <w:szCs w:val="24"/>
        </w:rPr>
        <w:t>“</w:t>
      </w:r>
      <w:r w:rsidR="00E42DF5">
        <w:rPr>
          <w:rFonts w:ascii="Garamond" w:eastAsia="Calibri" w:hAnsi="Garamond" w:cs="Sanskrit Text"/>
          <w:sz w:val="24"/>
          <w:szCs w:val="24"/>
        </w:rPr>
        <w:t>T</w:t>
      </w:r>
      <w:r w:rsidRPr="001A23D9">
        <w:rPr>
          <w:rFonts w:ascii="Garamond" w:eastAsia="Calibri" w:hAnsi="Garamond" w:cs="Sanskrit Text"/>
          <w:sz w:val="24"/>
          <w:szCs w:val="24"/>
        </w:rPr>
        <w:t>he market determines the cost of capital</w:t>
      </w:r>
      <w:r w:rsidR="00501ABB" w:rsidRPr="001A23D9">
        <w:rPr>
          <w:rFonts w:ascii="Garamond" w:eastAsia="Calibri" w:hAnsi="Garamond" w:cs="Sanskrit Text"/>
          <w:sz w:val="24"/>
          <w:szCs w:val="24"/>
        </w:rPr>
        <w:t xml:space="preserve">. </w:t>
      </w:r>
      <w:r w:rsidRPr="001A23D9">
        <w:rPr>
          <w:rFonts w:ascii="Garamond" w:eastAsia="Calibri" w:hAnsi="Garamond" w:cs="Sanskrit Text"/>
          <w:sz w:val="24"/>
          <w:szCs w:val="24"/>
        </w:rPr>
        <w:t xml:space="preserve"> </w:t>
      </w:r>
      <w:r w:rsidR="001764C3" w:rsidRPr="001A23D9">
        <w:rPr>
          <w:rFonts w:ascii="Garamond" w:eastAsia="Calibri" w:hAnsi="Garamond" w:cs="Sanskrit Text"/>
          <w:sz w:val="24"/>
          <w:szCs w:val="24"/>
        </w:rPr>
        <w:t>Regulators</w:t>
      </w:r>
      <w:r w:rsidRPr="001A23D9">
        <w:rPr>
          <w:rFonts w:ascii="Garamond" w:eastAsia="Calibri" w:hAnsi="Garamond" w:cs="Sanskrit Text"/>
          <w:sz w:val="24"/>
          <w:szCs w:val="24"/>
        </w:rPr>
        <w:t xml:space="preserve"> don’t.”</w:t>
      </w:r>
      <w:r w:rsidR="00501ABB" w:rsidRPr="001A23D9">
        <w:rPr>
          <w:rFonts w:ascii="Garamond" w:eastAsia="Calibri" w:hAnsi="Garamond" w:cs="Sanskrit Text"/>
          <w:sz w:val="24"/>
          <w:szCs w:val="24"/>
          <w:vertAlign w:val="superscript"/>
        </w:rPr>
        <w:t>20</w:t>
      </w:r>
    </w:p>
    <w:p w14:paraId="2839A5E7" w14:textId="74716E44" w:rsidR="00536CD2" w:rsidRDefault="0044266F" w:rsidP="007C4621">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lastRenderedPageBreak/>
        <w:t>The Idaho State Tax Commission, Property Tax Division, agrees that the</w:t>
      </w:r>
      <w:r w:rsidR="00ED28DE">
        <w:rPr>
          <w:rFonts w:ascii="Garamond" w:eastAsia="Calibri" w:hAnsi="Garamond" w:cs="Sanskrit Text"/>
          <w:sz w:val="24"/>
          <w:szCs w:val="24"/>
        </w:rPr>
        <w:t xml:space="preserve"> regulatory</w:t>
      </w:r>
      <w:r w:rsidRPr="001A23D9">
        <w:rPr>
          <w:rFonts w:ascii="Garamond" w:eastAsia="Calibri" w:hAnsi="Garamond" w:cs="Sanskrit Text"/>
          <w:sz w:val="24"/>
          <w:szCs w:val="24"/>
        </w:rPr>
        <w:t xml:space="preserve"> allowed return </w:t>
      </w:r>
      <w:r w:rsidR="0025765B" w:rsidRPr="001A23D9">
        <w:rPr>
          <w:rFonts w:ascii="Garamond" w:eastAsia="Calibri" w:hAnsi="Garamond" w:cs="Sanskrit Text"/>
          <w:sz w:val="24"/>
          <w:szCs w:val="24"/>
        </w:rPr>
        <w:t xml:space="preserve">on equity </w:t>
      </w:r>
      <w:r w:rsidRPr="001A23D9">
        <w:rPr>
          <w:rFonts w:ascii="Garamond" w:eastAsia="Calibri" w:hAnsi="Garamond" w:cs="Sanskrit Text"/>
          <w:sz w:val="24"/>
          <w:szCs w:val="24"/>
        </w:rPr>
        <w:t xml:space="preserve">is not an appropriate substitute for the calculation and analysis of </w:t>
      </w:r>
      <w:r w:rsidR="00D24FCE" w:rsidRPr="001A23D9">
        <w:rPr>
          <w:rFonts w:ascii="Garamond" w:eastAsia="Calibri" w:hAnsi="Garamond" w:cs="Sanskrit Text"/>
          <w:sz w:val="24"/>
          <w:szCs w:val="24"/>
        </w:rPr>
        <w:t xml:space="preserve">a </w:t>
      </w:r>
      <w:r w:rsidRPr="001A23D9">
        <w:rPr>
          <w:rFonts w:ascii="Garamond" w:eastAsia="Calibri" w:hAnsi="Garamond" w:cs="Sanskrit Text"/>
          <w:sz w:val="24"/>
          <w:szCs w:val="24"/>
        </w:rPr>
        <w:t xml:space="preserve">market derived cost of equity </w:t>
      </w:r>
      <w:r w:rsidR="004C34A2" w:rsidRPr="001A23D9">
        <w:rPr>
          <w:rFonts w:ascii="Garamond" w:eastAsia="Calibri" w:hAnsi="Garamond" w:cs="Sanskrit Text"/>
          <w:sz w:val="24"/>
          <w:szCs w:val="24"/>
        </w:rPr>
        <w:t>used in valuation</w:t>
      </w:r>
      <w:r w:rsidRPr="001A23D9">
        <w:rPr>
          <w:rFonts w:ascii="Garamond" w:eastAsia="Calibri" w:hAnsi="Garamond" w:cs="Sanskrit Text"/>
          <w:sz w:val="24"/>
          <w:szCs w:val="24"/>
        </w:rPr>
        <w:t xml:space="preserve">.  </w:t>
      </w:r>
    </w:p>
    <w:p w14:paraId="002C2332" w14:textId="00396CB7" w:rsidR="00526FA6" w:rsidRDefault="0044266F" w:rsidP="007C4621">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 xml:space="preserve">As promulgated by Idaho Code and </w:t>
      </w:r>
      <w:r w:rsidR="00EC3378" w:rsidRPr="001A23D9">
        <w:rPr>
          <w:rFonts w:ascii="Garamond" w:eastAsia="Calibri" w:hAnsi="Garamond" w:cs="Sanskrit Text"/>
          <w:sz w:val="24"/>
          <w:szCs w:val="24"/>
        </w:rPr>
        <w:t>A</w:t>
      </w:r>
      <w:r w:rsidRPr="001A23D9">
        <w:rPr>
          <w:rFonts w:ascii="Garamond" w:eastAsia="Calibri" w:hAnsi="Garamond" w:cs="Sanskrit Text"/>
          <w:sz w:val="24"/>
          <w:szCs w:val="24"/>
        </w:rPr>
        <w:t xml:space="preserve">dministrative </w:t>
      </w:r>
      <w:r w:rsidR="00EC3378" w:rsidRPr="001A23D9">
        <w:rPr>
          <w:rFonts w:ascii="Garamond" w:eastAsia="Calibri" w:hAnsi="Garamond" w:cs="Sanskrit Text"/>
          <w:sz w:val="24"/>
          <w:szCs w:val="24"/>
        </w:rPr>
        <w:t>R</w:t>
      </w:r>
      <w:r w:rsidRPr="001A23D9">
        <w:rPr>
          <w:rFonts w:ascii="Garamond" w:eastAsia="Calibri" w:hAnsi="Garamond" w:cs="Sanskrit Text"/>
          <w:sz w:val="24"/>
          <w:szCs w:val="24"/>
        </w:rPr>
        <w:t xml:space="preserve">ule, we will continue to use nationally recognized methodologies </w:t>
      </w:r>
      <w:r w:rsidR="00756F0F" w:rsidRPr="001A23D9">
        <w:rPr>
          <w:rFonts w:ascii="Garamond" w:eastAsia="Calibri" w:hAnsi="Garamond" w:cs="Sanskrit Text"/>
          <w:sz w:val="24"/>
          <w:szCs w:val="24"/>
        </w:rPr>
        <w:t xml:space="preserve">and models </w:t>
      </w:r>
      <w:r w:rsidRPr="001A23D9">
        <w:rPr>
          <w:rFonts w:ascii="Garamond" w:eastAsia="Calibri" w:hAnsi="Garamond" w:cs="Sanskrit Text"/>
          <w:sz w:val="24"/>
          <w:szCs w:val="24"/>
        </w:rPr>
        <w:t>to calculate the market cost of equity</w:t>
      </w:r>
      <w:r w:rsidR="00EF4B3D">
        <w:rPr>
          <w:rFonts w:ascii="Garamond" w:eastAsia="Calibri" w:hAnsi="Garamond" w:cs="Sanskrit Text"/>
          <w:sz w:val="24"/>
          <w:szCs w:val="24"/>
        </w:rPr>
        <w:t xml:space="preserve"> and ultimately the WACC applicable in the </w:t>
      </w:r>
      <w:r w:rsidR="001B790D">
        <w:rPr>
          <w:rFonts w:ascii="Garamond" w:eastAsia="Calibri" w:hAnsi="Garamond" w:cs="Sanskrit Text"/>
          <w:sz w:val="24"/>
          <w:szCs w:val="24"/>
        </w:rPr>
        <w:t>i</w:t>
      </w:r>
      <w:r w:rsidR="00EF4B3D">
        <w:rPr>
          <w:rFonts w:ascii="Garamond" w:eastAsia="Calibri" w:hAnsi="Garamond" w:cs="Sanskrit Text"/>
          <w:sz w:val="24"/>
          <w:szCs w:val="24"/>
        </w:rPr>
        <w:t xml:space="preserve">ncome </w:t>
      </w:r>
      <w:r w:rsidR="001B790D">
        <w:rPr>
          <w:rFonts w:ascii="Garamond" w:eastAsia="Calibri" w:hAnsi="Garamond" w:cs="Sanskrit Text"/>
          <w:sz w:val="24"/>
          <w:szCs w:val="24"/>
        </w:rPr>
        <w:t>a</w:t>
      </w:r>
      <w:r w:rsidR="00EF4B3D">
        <w:rPr>
          <w:rFonts w:ascii="Garamond" w:eastAsia="Calibri" w:hAnsi="Garamond" w:cs="Sanskrit Text"/>
          <w:sz w:val="24"/>
          <w:szCs w:val="24"/>
        </w:rPr>
        <w:t>pproach</w:t>
      </w:r>
      <w:r w:rsidRPr="001A23D9">
        <w:rPr>
          <w:rFonts w:ascii="Garamond" w:eastAsia="Calibri" w:hAnsi="Garamond" w:cs="Sanskrit Text"/>
          <w:sz w:val="24"/>
          <w:szCs w:val="24"/>
        </w:rPr>
        <w:t>.</w:t>
      </w:r>
    </w:p>
    <w:p w14:paraId="642DD263" w14:textId="77777777" w:rsidR="00ED28DE" w:rsidRDefault="00ED28DE" w:rsidP="007C4621">
      <w:pPr>
        <w:spacing w:after="160" w:line="259" w:lineRule="auto"/>
        <w:rPr>
          <w:rFonts w:ascii="Garamond" w:eastAsia="Calibri" w:hAnsi="Garamond" w:cs="Sanskrit Text"/>
          <w:b/>
          <w:bCs/>
          <w:sz w:val="24"/>
          <w:szCs w:val="24"/>
          <w:u w:val="single"/>
        </w:rPr>
      </w:pPr>
    </w:p>
    <w:p w14:paraId="672C55D7" w14:textId="138C69BA" w:rsidR="00457171" w:rsidRPr="001A23D9" w:rsidRDefault="004717B0" w:rsidP="007C4621">
      <w:pPr>
        <w:spacing w:after="160" w:line="259" w:lineRule="auto"/>
        <w:rPr>
          <w:rFonts w:ascii="Garamond" w:eastAsia="Calibri" w:hAnsi="Garamond" w:cs="Sanskrit Text"/>
          <w:b/>
          <w:bCs/>
          <w:sz w:val="24"/>
          <w:szCs w:val="24"/>
          <w:u w:val="single"/>
        </w:rPr>
      </w:pPr>
      <w:r>
        <w:rPr>
          <w:rFonts w:ascii="Garamond" w:eastAsia="Calibri" w:hAnsi="Garamond" w:cs="Sanskrit Text"/>
          <w:b/>
          <w:bCs/>
          <w:sz w:val="24"/>
          <w:szCs w:val="24"/>
          <w:u w:val="single"/>
        </w:rPr>
        <w:t>O</w:t>
      </w:r>
      <w:r w:rsidRPr="001A23D9">
        <w:rPr>
          <w:rFonts w:ascii="Garamond" w:eastAsia="Calibri" w:hAnsi="Garamond" w:cs="Sanskrit Text"/>
          <w:b/>
          <w:bCs/>
          <w:sz w:val="24"/>
          <w:szCs w:val="24"/>
          <w:u w:val="single"/>
        </w:rPr>
        <w:t>PERATING PROPERTY BUREAU APPRAISAL STAFF</w:t>
      </w:r>
    </w:p>
    <w:p w14:paraId="2AE5FC9D" w14:textId="622E87C9" w:rsidR="00457171" w:rsidRPr="001A23D9" w:rsidRDefault="00457171" w:rsidP="00457171">
      <w:pPr>
        <w:spacing w:after="0" w:line="259" w:lineRule="auto"/>
        <w:rPr>
          <w:rFonts w:ascii="Garamond" w:eastAsia="Calibri" w:hAnsi="Garamond" w:cs="Sanskrit Text"/>
          <w:b/>
          <w:bCs/>
          <w:i/>
          <w:iCs/>
          <w:sz w:val="24"/>
          <w:szCs w:val="24"/>
        </w:rPr>
      </w:pPr>
      <w:r w:rsidRPr="001A23D9">
        <w:rPr>
          <w:rFonts w:ascii="Garamond" w:eastAsia="Calibri" w:hAnsi="Garamond" w:cs="Sanskrit Text"/>
          <w:b/>
          <w:bCs/>
          <w:i/>
          <w:iCs/>
          <w:sz w:val="24"/>
          <w:szCs w:val="24"/>
        </w:rPr>
        <w:t>Jerott Rudd</w:t>
      </w:r>
      <w:r w:rsidR="006A204A">
        <w:rPr>
          <w:rFonts w:ascii="Garamond" w:eastAsia="Calibri" w:hAnsi="Garamond" w:cs="Sanskrit Text"/>
          <w:b/>
          <w:bCs/>
          <w:i/>
          <w:iCs/>
          <w:sz w:val="24"/>
          <w:szCs w:val="24"/>
        </w:rPr>
        <w:t>,</w:t>
      </w:r>
      <w:r w:rsidRPr="001A23D9">
        <w:rPr>
          <w:rFonts w:ascii="Garamond" w:eastAsia="Calibri" w:hAnsi="Garamond" w:cs="Sanskrit Text"/>
          <w:b/>
          <w:bCs/>
          <w:i/>
          <w:iCs/>
          <w:sz w:val="24"/>
          <w:szCs w:val="24"/>
        </w:rPr>
        <w:t xml:space="preserve"> Bureau Chief</w:t>
      </w:r>
      <w:r w:rsidR="006A204A">
        <w:rPr>
          <w:rFonts w:ascii="Garamond" w:eastAsia="Calibri" w:hAnsi="Garamond" w:cs="Sanskrit Text"/>
          <w:b/>
          <w:bCs/>
          <w:i/>
          <w:iCs/>
          <w:sz w:val="24"/>
          <w:szCs w:val="24"/>
        </w:rPr>
        <w:t xml:space="preserve"> – Water</w:t>
      </w:r>
      <w:r w:rsidR="00FC269A">
        <w:rPr>
          <w:rFonts w:ascii="Garamond" w:eastAsia="Calibri" w:hAnsi="Garamond" w:cs="Sanskrit Text"/>
          <w:b/>
          <w:bCs/>
          <w:i/>
          <w:iCs/>
          <w:sz w:val="24"/>
          <w:szCs w:val="24"/>
        </w:rPr>
        <w:t xml:space="preserve"> Transportation</w:t>
      </w:r>
    </w:p>
    <w:p w14:paraId="5418CEE7" w14:textId="4BB23472" w:rsidR="00457171" w:rsidRPr="001A23D9" w:rsidRDefault="00D201E3" w:rsidP="0055274C">
      <w:pPr>
        <w:spacing w:after="0" w:line="480" w:lineRule="auto"/>
        <w:rPr>
          <w:rFonts w:ascii="Garamond" w:eastAsia="Calibri" w:hAnsi="Garamond" w:cs="Sanskrit Text"/>
          <w:i/>
          <w:iCs/>
          <w:sz w:val="24"/>
          <w:szCs w:val="24"/>
        </w:rPr>
      </w:pPr>
      <w:hyperlink r:id="rId13" w:history="1">
        <w:r w:rsidR="00457171" w:rsidRPr="001A23D9">
          <w:rPr>
            <w:rStyle w:val="Hyperlink"/>
            <w:rFonts w:ascii="Garamond" w:eastAsia="Calibri" w:hAnsi="Garamond" w:cs="Sanskrit Text"/>
            <w:i/>
            <w:iCs/>
            <w:sz w:val="24"/>
            <w:szCs w:val="24"/>
          </w:rPr>
          <w:t>Jerott.Rudd@tax.idaho.gov</w:t>
        </w:r>
      </w:hyperlink>
      <w:r w:rsidR="00457171" w:rsidRPr="001A23D9">
        <w:rPr>
          <w:rFonts w:ascii="Garamond" w:eastAsia="Calibri" w:hAnsi="Garamond" w:cs="Sanskrit Text"/>
          <w:i/>
          <w:iCs/>
          <w:sz w:val="24"/>
          <w:szCs w:val="24"/>
        </w:rPr>
        <w:t xml:space="preserve"> | 208-334-7723</w:t>
      </w:r>
    </w:p>
    <w:p w14:paraId="56C652C7" w14:textId="75AEB250" w:rsidR="00457171" w:rsidRPr="001A23D9" w:rsidRDefault="00D25BE3" w:rsidP="00457171">
      <w:pPr>
        <w:spacing w:after="0" w:line="240" w:lineRule="auto"/>
        <w:rPr>
          <w:rFonts w:ascii="Garamond" w:eastAsia="Calibri" w:hAnsi="Garamond" w:cs="Sanskrit Text"/>
          <w:b/>
          <w:bCs/>
          <w:i/>
          <w:iCs/>
          <w:sz w:val="24"/>
          <w:szCs w:val="24"/>
        </w:rPr>
      </w:pPr>
      <w:r w:rsidRPr="001A23D9">
        <w:rPr>
          <w:rFonts w:ascii="Garamond" w:eastAsia="Calibri" w:hAnsi="Garamond" w:cs="Sanskrit Text"/>
          <w:b/>
          <w:bCs/>
          <w:i/>
          <w:iCs/>
          <w:sz w:val="24"/>
          <w:szCs w:val="24"/>
        </w:rPr>
        <w:t>Dave Wedd</w:t>
      </w:r>
      <w:r w:rsidR="00427203">
        <w:rPr>
          <w:rFonts w:ascii="Garamond" w:eastAsia="Calibri" w:hAnsi="Garamond" w:cs="Sanskrit Text"/>
          <w:b/>
          <w:bCs/>
          <w:i/>
          <w:iCs/>
          <w:sz w:val="24"/>
          <w:szCs w:val="24"/>
        </w:rPr>
        <w:t>le</w:t>
      </w:r>
      <w:r w:rsidR="00457171" w:rsidRPr="001A23D9">
        <w:rPr>
          <w:rFonts w:ascii="Garamond" w:eastAsia="Calibri" w:hAnsi="Garamond" w:cs="Sanskrit Text"/>
          <w:b/>
          <w:bCs/>
          <w:i/>
          <w:iCs/>
          <w:sz w:val="24"/>
          <w:szCs w:val="24"/>
        </w:rPr>
        <w:t xml:space="preserve"> – Staff Support</w:t>
      </w:r>
      <w:r w:rsidR="00FC269A">
        <w:rPr>
          <w:rFonts w:ascii="Garamond" w:eastAsia="Calibri" w:hAnsi="Garamond" w:cs="Sanskrit Text"/>
          <w:b/>
          <w:bCs/>
          <w:i/>
          <w:iCs/>
          <w:sz w:val="24"/>
          <w:szCs w:val="24"/>
        </w:rPr>
        <w:t>, Gross Earnings Tax</w:t>
      </w:r>
    </w:p>
    <w:p w14:paraId="1162747D" w14:textId="72795738" w:rsidR="00457171" w:rsidRPr="001A23D9" w:rsidRDefault="00D201E3" w:rsidP="0055274C">
      <w:pPr>
        <w:spacing w:after="160" w:line="360" w:lineRule="auto"/>
        <w:rPr>
          <w:rFonts w:ascii="Garamond" w:eastAsia="Calibri" w:hAnsi="Garamond" w:cs="Sanskrit Text"/>
          <w:i/>
          <w:iCs/>
          <w:sz w:val="24"/>
          <w:szCs w:val="24"/>
        </w:rPr>
      </w:pPr>
      <w:hyperlink r:id="rId14" w:history="1">
        <w:r w:rsidR="00D25BE3" w:rsidRPr="001A23D9">
          <w:rPr>
            <w:rStyle w:val="Hyperlink"/>
            <w:rFonts w:ascii="Garamond" w:eastAsia="Calibri" w:hAnsi="Garamond" w:cs="Sanskrit Text"/>
            <w:i/>
            <w:iCs/>
            <w:sz w:val="24"/>
            <w:szCs w:val="24"/>
          </w:rPr>
          <w:t>Dave.Weddell@tax.idaho.gov</w:t>
        </w:r>
      </w:hyperlink>
      <w:r w:rsidR="00D25BE3" w:rsidRPr="001A23D9">
        <w:rPr>
          <w:rFonts w:ascii="Garamond" w:eastAsia="Calibri" w:hAnsi="Garamond" w:cs="Sanskrit Text"/>
          <w:i/>
          <w:iCs/>
          <w:sz w:val="24"/>
          <w:szCs w:val="24"/>
        </w:rPr>
        <w:t xml:space="preserve"> </w:t>
      </w:r>
      <w:r w:rsidR="00457171" w:rsidRPr="001A23D9">
        <w:rPr>
          <w:rFonts w:ascii="Garamond" w:eastAsia="Calibri" w:hAnsi="Garamond" w:cs="Sanskrit Text"/>
          <w:i/>
          <w:iCs/>
          <w:sz w:val="24"/>
          <w:szCs w:val="24"/>
        </w:rPr>
        <w:t>| 208-334-7739</w:t>
      </w:r>
    </w:p>
    <w:p w14:paraId="091B8ADF" w14:textId="77777777" w:rsidR="00457171" w:rsidRPr="001A23D9" w:rsidRDefault="00457171" w:rsidP="00457171">
      <w:pPr>
        <w:spacing w:after="0" w:line="259" w:lineRule="auto"/>
        <w:rPr>
          <w:rFonts w:ascii="Garamond" w:eastAsia="Calibri" w:hAnsi="Garamond" w:cs="Sanskrit Text"/>
          <w:b/>
          <w:bCs/>
          <w:i/>
          <w:iCs/>
          <w:sz w:val="24"/>
          <w:szCs w:val="24"/>
        </w:rPr>
      </w:pPr>
      <w:r w:rsidRPr="001A23D9">
        <w:rPr>
          <w:rFonts w:ascii="Garamond" w:eastAsia="Calibri" w:hAnsi="Garamond" w:cs="Sanskrit Text"/>
          <w:b/>
          <w:bCs/>
          <w:i/>
          <w:iCs/>
          <w:sz w:val="24"/>
          <w:szCs w:val="24"/>
        </w:rPr>
        <w:t>Jim Powell – Telecommunications</w:t>
      </w:r>
    </w:p>
    <w:p w14:paraId="00AB4DFB" w14:textId="14A1875C" w:rsidR="00457171" w:rsidRDefault="00D201E3" w:rsidP="0055274C">
      <w:pPr>
        <w:spacing w:after="160" w:line="360" w:lineRule="auto"/>
        <w:rPr>
          <w:rFonts w:ascii="Garamond" w:eastAsia="Calibri" w:hAnsi="Garamond" w:cs="Sanskrit Text"/>
          <w:i/>
          <w:iCs/>
          <w:sz w:val="24"/>
          <w:szCs w:val="24"/>
        </w:rPr>
      </w:pPr>
      <w:hyperlink r:id="rId15" w:history="1">
        <w:r w:rsidR="00D25BE3" w:rsidRPr="001A23D9">
          <w:rPr>
            <w:rStyle w:val="Hyperlink"/>
            <w:rFonts w:ascii="Garamond" w:eastAsia="Calibri" w:hAnsi="Garamond" w:cs="Sanskrit Text"/>
            <w:i/>
            <w:iCs/>
            <w:sz w:val="24"/>
            <w:szCs w:val="24"/>
          </w:rPr>
          <w:t>James.Powell@tax.idaho.gov</w:t>
        </w:r>
      </w:hyperlink>
      <w:r w:rsidR="00457171" w:rsidRPr="001A23D9">
        <w:rPr>
          <w:rFonts w:ascii="Garamond" w:eastAsia="Calibri" w:hAnsi="Garamond" w:cs="Sanskrit Text"/>
          <w:i/>
          <w:iCs/>
          <w:sz w:val="24"/>
          <w:szCs w:val="24"/>
        </w:rPr>
        <w:t xml:space="preserve"> | 208-334-7740</w:t>
      </w:r>
    </w:p>
    <w:p w14:paraId="2D3739A2" w14:textId="192F3604" w:rsidR="007508ED" w:rsidRPr="001A23D9" w:rsidRDefault="007508ED" w:rsidP="007508ED">
      <w:pPr>
        <w:spacing w:after="0" w:line="259" w:lineRule="auto"/>
        <w:rPr>
          <w:rFonts w:ascii="Garamond" w:eastAsia="Calibri" w:hAnsi="Garamond" w:cs="Sanskrit Text"/>
          <w:b/>
          <w:bCs/>
          <w:i/>
          <w:iCs/>
          <w:sz w:val="24"/>
          <w:szCs w:val="24"/>
        </w:rPr>
      </w:pPr>
      <w:r w:rsidRPr="001A23D9">
        <w:rPr>
          <w:rFonts w:ascii="Garamond" w:eastAsia="Calibri" w:hAnsi="Garamond" w:cs="Sanskrit Text"/>
          <w:b/>
          <w:bCs/>
          <w:i/>
          <w:iCs/>
          <w:sz w:val="24"/>
          <w:szCs w:val="24"/>
        </w:rPr>
        <w:t>Kyle Rayworth – Non-Utility Generators, Gas Distribution</w:t>
      </w:r>
      <w:r w:rsidR="00860751">
        <w:rPr>
          <w:rFonts w:ascii="Garamond" w:eastAsia="Calibri" w:hAnsi="Garamond" w:cs="Sanskrit Text"/>
          <w:b/>
          <w:bCs/>
          <w:i/>
          <w:iCs/>
          <w:sz w:val="24"/>
          <w:szCs w:val="24"/>
        </w:rPr>
        <w:t>, Railroads</w:t>
      </w:r>
    </w:p>
    <w:p w14:paraId="3AAAC44F" w14:textId="77777777" w:rsidR="007508ED" w:rsidRPr="001A23D9" w:rsidRDefault="00D201E3" w:rsidP="007508ED">
      <w:pPr>
        <w:spacing w:after="160" w:line="360" w:lineRule="auto"/>
        <w:rPr>
          <w:rFonts w:ascii="Garamond" w:eastAsia="Calibri" w:hAnsi="Garamond" w:cs="Sanskrit Text"/>
          <w:i/>
          <w:iCs/>
          <w:sz w:val="24"/>
          <w:szCs w:val="24"/>
        </w:rPr>
      </w:pPr>
      <w:hyperlink r:id="rId16" w:history="1">
        <w:r w:rsidR="007508ED" w:rsidRPr="001A23D9">
          <w:rPr>
            <w:rStyle w:val="Hyperlink"/>
            <w:rFonts w:ascii="Garamond" w:eastAsia="Calibri" w:hAnsi="Garamond" w:cs="Sanskrit Text"/>
            <w:i/>
            <w:iCs/>
            <w:sz w:val="24"/>
            <w:szCs w:val="24"/>
          </w:rPr>
          <w:t>Kyle.Rayworth@tax.idaho.gov</w:t>
        </w:r>
      </w:hyperlink>
      <w:r w:rsidR="007508ED" w:rsidRPr="001A23D9">
        <w:rPr>
          <w:rFonts w:ascii="Garamond" w:eastAsia="Calibri" w:hAnsi="Garamond" w:cs="Sanskrit Text"/>
          <w:i/>
          <w:iCs/>
          <w:sz w:val="24"/>
          <w:szCs w:val="24"/>
        </w:rPr>
        <w:t xml:space="preserve"> | 208-334-7719</w:t>
      </w:r>
    </w:p>
    <w:p w14:paraId="4439D6FA" w14:textId="15E1CEEE" w:rsidR="007508ED" w:rsidRPr="001A23D9" w:rsidRDefault="007508ED" w:rsidP="007508ED">
      <w:pPr>
        <w:spacing w:after="0" w:line="259" w:lineRule="auto"/>
        <w:rPr>
          <w:rFonts w:ascii="Garamond" w:eastAsia="Calibri" w:hAnsi="Garamond" w:cs="Sanskrit Text"/>
          <w:b/>
          <w:bCs/>
          <w:i/>
          <w:iCs/>
          <w:sz w:val="24"/>
          <w:szCs w:val="24"/>
        </w:rPr>
      </w:pPr>
      <w:r w:rsidRPr="001A23D9">
        <w:rPr>
          <w:rFonts w:ascii="Garamond" w:eastAsia="Calibri" w:hAnsi="Garamond" w:cs="Sanskrit Text"/>
          <w:b/>
          <w:bCs/>
          <w:i/>
          <w:iCs/>
          <w:sz w:val="24"/>
          <w:szCs w:val="24"/>
        </w:rPr>
        <w:t>Erica Taggart – Investor-Owned Electrics</w:t>
      </w:r>
      <w:r w:rsidR="006A204A">
        <w:rPr>
          <w:rFonts w:ascii="Garamond" w:eastAsia="Calibri" w:hAnsi="Garamond" w:cs="Sanskrit Text"/>
          <w:b/>
          <w:bCs/>
          <w:i/>
          <w:iCs/>
          <w:sz w:val="24"/>
          <w:szCs w:val="24"/>
        </w:rPr>
        <w:t>, Gas Transmission, Railcars</w:t>
      </w:r>
      <w:r w:rsidRPr="001A23D9">
        <w:rPr>
          <w:rFonts w:ascii="Garamond" w:eastAsia="Calibri" w:hAnsi="Garamond" w:cs="Sanskrit Text"/>
          <w:b/>
          <w:bCs/>
          <w:i/>
          <w:iCs/>
          <w:sz w:val="24"/>
          <w:szCs w:val="24"/>
        </w:rPr>
        <w:t xml:space="preserve"> </w:t>
      </w:r>
    </w:p>
    <w:p w14:paraId="79F90B36" w14:textId="77777777" w:rsidR="007508ED" w:rsidRPr="001A23D9" w:rsidRDefault="00D201E3" w:rsidP="007508ED">
      <w:pPr>
        <w:spacing w:after="160" w:line="360" w:lineRule="auto"/>
        <w:rPr>
          <w:rFonts w:ascii="Garamond" w:eastAsia="Calibri" w:hAnsi="Garamond" w:cs="Sanskrit Text"/>
          <w:i/>
          <w:iCs/>
          <w:sz w:val="24"/>
          <w:szCs w:val="24"/>
        </w:rPr>
      </w:pPr>
      <w:hyperlink r:id="rId17" w:history="1">
        <w:r w:rsidR="007508ED" w:rsidRPr="001A23D9">
          <w:rPr>
            <w:rStyle w:val="Hyperlink"/>
            <w:rFonts w:ascii="Garamond" w:eastAsia="Calibri" w:hAnsi="Garamond" w:cs="Sanskrit Text"/>
            <w:i/>
            <w:iCs/>
            <w:sz w:val="24"/>
            <w:szCs w:val="24"/>
          </w:rPr>
          <w:t>Erica.Taggart@tax.idaho.gov</w:t>
        </w:r>
      </w:hyperlink>
      <w:r w:rsidR="007508ED" w:rsidRPr="001A23D9">
        <w:rPr>
          <w:rFonts w:ascii="Garamond" w:eastAsia="Calibri" w:hAnsi="Garamond" w:cs="Sanskrit Text"/>
          <w:i/>
          <w:iCs/>
          <w:sz w:val="24"/>
          <w:szCs w:val="24"/>
        </w:rPr>
        <w:t xml:space="preserve"> | 208-246-8686</w:t>
      </w:r>
    </w:p>
    <w:p w14:paraId="46DB35CE" w14:textId="5A1340C0" w:rsidR="00457171" w:rsidRPr="001A23D9" w:rsidRDefault="00427203" w:rsidP="00457171">
      <w:pPr>
        <w:spacing w:after="0" w:line="259" w:lineRule="auto"/>
        <w:rPr>
          <w:rFonts w:ascii="Garamond" w:eastAsia="Calibri" w:hAnsi="Garamond" w:cs="Sanskrit Text"/>
          <w:b/>
          <w:bCs/>
          <w:i/>
          <w:iCs/>
          <w:sz w:val="24"/>
          <w:szCs w:val="24"/>
        </w:rPr>
      </w:pPr>
      <w:r>
        <w:rPr>
          <w:rFonts w:ascii="Garamond" w:eastAsia="Calibri" w:hAnsi="Garamond" w:cs="Sanskrit Text"/>
          <w:b/>
          <w:bCs/>
          <w:i/>
          <w:iCs/>
          <w:sz w:val="24"/>
          <w:szCs w:val="24"/>
        </w:rPr>
        <w:t>Tim Hurst</w:t>
      </w:r>
      <w:r w:rsidR="00457171" w:rsidRPr="001A23D9">
        <w:rPr>
          <w:rFonts w:ascii="Garamond" w:eastAsia="Calibri" w:hAnsi="Garamond" w:cs="Sanskrit Text"/>
          <w:b/>
          <w:bCs/>
          <w:i/>
          <w:iCs/>
          <w:sz w:val="24"/>
          <w:szCs w:val="24"/>
        </w:rPr>
        <w:t xml:space="preserve"> –</w:t>
      </w:r>
      <w:r w:rsidR="00AE489E">
        <w:rPr>
          <w:rFonts w:ascii="Garamond" w:eastAsia="Calibri" w:hAnsi="Garamond" w:cs="Sanskrit Text"/>
          <w:b/>
          <w:bCs/>
          <w:i/>
          <w:iCs/>
          <w:sz w:val="24"/>
          <w:szCs w:val="24"/>
        </w:rPr>
        <w:t xml:space="preserve"> </w:t>
      </w:r>
      <w:r w:rsidR="00457171" w:rsidRPr="001A23D9">
        <w:rPr>
          <w:rFonts w:ascii="Garamond" w:eastAsia="Calibri" w:hAnsi="Garamond" w:cs="Sanskrit Text"/>
          <w:b/>
          <w:bCs/>
          <w:i/>
          <w:iCs/>
          <w:sz w:val="24"/>
          <w:szCs w:val="24"/>
        </w:rPr>
        <w:t>Water</w:t>
      </w:r>
      <w:r w:rsidR="00FC269A">
        <w:rPr>
          <w:rFonts w:ascii="Garamond" w:eastAsia="Calibri" w:hAnsi="Garamond" w:cs="Sanskrit Text"/>
          <w:b/>
          <w:bCs/>
          <w:i/>
          <w:iCs/>
          <w:sz w:val="24"/>
          <w:szCs w:val="24"/>
        </w:rPr>
        <w:t xml:space="preserve"> Distribution</w:t>
      </w:r>
    </w:p>
    <w:p w14:paraId="62ABEC56" w14:textId="46FDA460" w:rsidR="00457171" w:rsidRPr="001A23D9" w:rsidRDefault="00D201E3" w:rsidP="0055274C">
      <w:pPr>
        <w:spacing w:after="160" w:line="360" w:lineRule="auto"/>
        <w:rPr>
          <w:rFonts w:ascii="Garamond" w:eastAsia="Calibri" w:hAnsi="Garamond" w:cs="Sanskrit Text"/>
          <w:i/>
          <w:iCs/>
          <w:sz w:val="24"/>
          <w:szCs w:val="24"/>
        </w:rPr>
      </w:pPr>
      <w:hyperlink r:id="rId18" w:history="1">
        <w:r w:rsidR="007508ED" w:rsidRPr="00647772">
          <w:rPr>
            <w:rStyle w:val="Hyperlink"/>
            <w:rFonts w:ascii="Garamond" w:eastAsia="Calibri" w:hAnsi="Garamond" w:cs="Sanskrit Text"/>
            <w:i/>
            <w:iCs/>
            <w:sz w:val="24"/>
            <w:szCs w:val="24"/>
          </w:rPr>
          <w:t>Tim.Hurst@tax.idaho.gov</w:t>
        </w:r>
      </w:hyperlink>
      <w:r w:rsidR="00457171" w:rsidRPr="001A23D9">
        <w:rPr>
          <w:rFonts w:ascii="Garamond" w:eastAsia="Calibri" w:hAnsi="Garamond" w:cs="Sanskrit Text"/>
          <w:i/>
          <w:iCs/>
          <w:sz w:val="24"/>
          <w:szCs w:val="24"/>
        </w:rPr>
        <w:t xml:space="preserve"> | 208-334-7709</w:t>
      </w:r>
    </w:p>
    <w:p w14:paraId="78969600" w14:textId="31080E4F" w:rsidR="00457171" w:rsidRPr="001A23D9" w:rsidRDefault="007508ED" w:rsidP="00457171">
      <w:pPr>
        <w:spacing w:after="0" w:line="259" w:lineRule="auto"/>
        <w:rPr>
          <w:rFonts w:ascii="Garamond" w:eastAsia="Calibri" w:hAnsi="Garamond" w:cs="Sanskrit Text"/>
          <w:b/>
          <w:bCs/>
          <w:i/>
          <w:iCs/>
          <w:sz w:val="24"/>
          <w:szCs w:val="24"/>
        </w:rPr>
      </w:pPr>
      <w:r>
        <w:rPr>
          <w:rFonts w:ascii="Garamond" w:eastAsia="Calibri" w:hAnsi="Garamond" w:cs="Sanskrit Text"/>
          <w:b/>
          <w:bCs/>
          <w:i/>
          <w:iCs/>
          <w:sz w:val="24"/>
          <w:szCs w:val="24"/>
        </w:rPr>
        <w:t xml:space="preserve">Shyanne Massie </w:t>
      </w:r>
      <w:r w:rsidR="00457171" w:rsidRPr="001A23D9">
        <w:rPr>
          <w:rFonts w:ascii="Garamond" w:eastAsia="Calibri" w:hAnsi="Garamond" w:cs="Sanskrit Text"/>
          <w:b/>
          <w:bCs/>
          <w:i/>
          <w:iCs/>
          <w:sz w:val="24"/>
          <w:szCs w:val="24"/>
        </w:rPr>
        <w:t xml:space="preserve">– </w:t>
      </w:r>
      <w:r w:rsidR="00FC269A">
        <w:rPr>
          <w:rFonts w:ascii="Garamond" w:eastAsia="Calibri" w:hAnsi="Garamond" w:cs="Sanskrit Text"/>
          <w:b/>
          <w:bCs/>
          <w:i/>
          <w:iCs/>
          <w:sz w:val="24"/>
          <w:szCs w:val="24"/>
        </w:rPr>
        <w:t>Petroleum Pipelines</w:t>
      </w:r>
    </w:p>
    <w:p w14:paraId="44057A62" w14:textId="74E7A16F" w:rsidR="00457171" w:rsidRPr="001A23D9" w:rsidRDefault="00D201E3" w:rsidP="0055274C">
      <w:pPr>
        <w:spacing w:after="160" w:line="360" w:lineRule="auto"/>
        <w:rPr>
          <w:rFonts w:ascii="Garamond" w:eastAsia="Calibri" w:hAnsi="Garamond" w:cs="Sanskrit Text"/>
          <w:i/>
          <w:iCs/>
          <w:sz w:val="24"/>
          <w:szCs w:val="24"/>
        </w:rPr>
      </w:pPr>
      <w:hyperlink r:id="rId19" w:history="1">
        <w:r w:rsidR="007508ED" w:rsidRPr="00647772">
          <w:rPr>
            <w:rStyle w:val="Hyperlink"/>
            <w:rFonts w:ascii="Garamond" w:eastAsia="Calibri" w:hAnsi="Garamond" w:cs="Sanskrit Text"/>
            <w:i/>
            <w:iCs/>
            <w:sz w:val="24"/>
            <w:szCs w:val="24"/>
          </w:rPr>
          <w:t>Shyanne.Massie@tax.idaho.gov</w:t>
        </w:r>
      </w:hyperlink>
      <w:r w:rsidR="00457171" w:rsidRPr="001A23D9">
        <w:rPr>
          <w:rFonts w:ascii="Garamond" w:eastAsia="Calibri" w:hAnsi="Garamond" w:cs="Sanskrit Text"/>
          <w:i/>
          <w:iCs/>
          <w:sz w:val="24"/>
          <w:szCs w:val="24"/>
        </w:rPr>
        <w:t xml:space="preserve"> | 208-334-7722</w:t>
      </w:r>
    </w:p>
    <w:p w14:paraId="5B489F80" w14:textId="77777777" w:rsidR="00B500AB" w:rsidRPr="001A23D9" w:rsidRDefault="00B500AB" w:rsidP="0056059E">
      <w:pPr>
        <w:spacing w:after="160" w:line="259" w:lineRule="auto"/>
        <w:ind w:left="1440" w:firstLine="720"/>
        <w:rPr>
          <w:rFonts w:ascii="Garamond" w:eastAsia="Calibri" w:hAnsi="Garamond" w:cs="Sanskrit Text"/>
          <w:b/>
          <w:bCs/>
          <w:sz w:val="24"/>
          <w:szCs w:val="24"/>
          <w:u w:val="single"/>
        </w:rPr>
      </w:pPr>
    </w:p>
    <w:p w14:paraId="21B935C1" w14:textId="77777777" w:rsidR="00B500AB" w:rsidRPr="001A23D9" w:rsidRDefault="00B500AB" w:rsidP="0056059E">
      <w:pPr>
        <w:spacing w:after="160" w:line="259" w:lineRule="auto"/>
        <w:ind w:left="1440" w:firstLine="720"/>
        <w:rPr>
          <w:rFonts w:ascii="Garamond" w:eastAsia="Calibri" w:hAnsi="Garamond" w:cs="Sanskrit Text"/>
          <w:b/>
          <w:bCs/>
          <w:sz w:val="24"/>
          <w:szCs w:val="24"/>
          <w:u w:val="single"/>
        </w:rPr>
      </w:pPr>
    </w:p>
    <w:p w14:paraId="69B82365" w14:textId="77777777" w:rsidR="00B500AB" w:rsidRPr="001A23D9" w:rsidRDefault="00B500AB" w:rsidP="0056059E">
      <w:pPr>
        <w:spacing w:after="160" w:line="259" w:lineRule="auto"/>
        <w:ind w:left="1440" w:firstLine="720"/>
        <w:rPr>
          <w:rFonts w:ascii="Garamond" w:eastAsia="Calibri" w:hAnsi="Garamond" w:cs="Sanskrit Text"/>
          <w:b/>
          <w:bCs/>
          <w:sz w:val="24"/>
          <w:szCs w:val="24"/>
          <w:u w:val="single"/>
        </w:rPr>
      </w:pPr>
    </w:p>
    <w:p w14:paraId="2E883E46" w14:textId="77777777" w:rsidR="00B500AB" w:rsidRPr="001A23D9" w:rsidRDefault="00B500AB" w:rsidP="0056059E">
      <w:pPr>
        <w:spacing w:after="160" w:line="259" w:lineRule="auto"/>
        <w:ind w:left="1440" w:firstLine="720"/>
        <w:rPr>
          <w:rFonts w:ascii="Garamond" w:eastAsia="Calibri" w:hAnsi="Garamond" w:cs="Sanskrit Text"/>
          <w:b/>
          <w:bCs/>
          <w:sz w:val="24"/>
          <w:szCs w:val="24"/>
          <w:u w:val="single"/>
        </w:rPr>
      </w:pPr>
    </w:p>
    <w:p w14:paraId="499C58DA" w14:textId="77777777" w:rsidR="00B500AB" w:rsidRPr="001A23D9" w:rsidRDefault="00B500AB" w:rsidP="0056059E">
      <w:pPr>
        <w:spacing w:after="160" w:line="259" w:lineRule="auto"/>
        <w:ind w:left="1440" w:firstLine="720"/>
        <w:rPr>
          <w:rFonts w:ascii="Garamond" w:eastAsia="Calibri" w:hAnsi="Garamond" w:cs="Sanskrit Text"/>
          <w:b/>
          <w:bCs/>
          <w:sz w:val="24"/>
          <w:szCs w:val="24"/>
          <w:u w:val="single"/>
        </w:rPr>
      </w:pPr>
    </w:p>
    <w:p w14:paraId="1C763ACC" w14:textId="77777777" w:rsidR="00B500AB" w:rsidRPr="001A23D9" w:rsidRDefault="00B500AB" w:rsidP="0056059E">
      <w:pPr>
        <w:spacing w:after="160" w:line="259" w:lineRule="auto"/>
        <w:ind w:left="1440" w:firstLine="720"/>
        <w:rPr>
          <w:rFonts w:ascii="Garamond" w:eastAsia="Calibri" w:hAnsi="Garamond" w:cs="Sanskrit Text"/>
          <w:b/>
          <w:bCs/>
          <w:sz w:val="24"/>
          <w:szCs w:val="24"/>
          <w:u w:val="single"/>
        </w:rPr>
      </w:pPr>
    </w:p>
    <w:p w14:paraId="2C66BD2E" w14:textId="77777777" w:rsidR="001A23D9" w:rsidRDefault="001A23D9" w:rsidP="0056059E">
      <w:pPr>
        <w:spacing w:after="160" w:line="259" w:lineRule="auto"/>
        <w:ind w:left="1440" w:firstLine="720"/>
        <w:rPr>
          <w:rFonts w:ascii="Garamond" w:eastAsia="Calibri" w:hAnsi="Garamond" w:cs="Sanskrit Text"/>
          <w:b/>
          <w:bCs/>
          <w:sz w:val="24"/>
          <w:szCs w:val="24"/>
          <w:u w:val="single"/>
        </w:rPr>
      </w:pPr>
    </w:p>
    <w:p w14:paraId="145FCFD1" w14:textId="77777777" w:rsidR="001A23D9" w:rsidRDefault="001A23D9" w:rsidP="0056059E">
      <w:pPr>
        <w:spacing w:after="160" w:line="259" w:lineRule="auto"/>
        <w:ind w:left="1440" w:firstLine="720"/>
        <w:rPr>
          <w:rFonts w:ascii="Garamond" w:eastAsia="Calibri" w:hAnsi="Garamond" w:cs="Sanskrit Text"/>
          <w:b/>
          <w:bCs/>
          <w:sz w:val="24"/>
          <w:szCs w:val="24"/>
          <w:u w:val="single"/>
        </w:rPr>
      </w:pPr>
    </w:p>
    <w:p w14:paraId="317F7B16" w14:textId="77777777" w:rsidR="001A23D9" w:rsidRDefault="001A23D9" w:rsidP="0056059E">
      <w:pPr>
        <w:spacing w:after="160" w:line="259" w:lineRule="auto"/>
        <w:ind w:left="1440" w:firstLine="720"/>
        <w:rPr>
          <w:rFonts w:ascii="Garamond" w:eastAsia="Calibri" w:hAnsi="Garamond" w:cs="Sanskrit Text"/>
          <w:b/>
          <w:bCs/>
          <w:sz w:val="24"/>
          <w:szCs w:val="24"/>
          <w:u w:val="single"/>
        </w:rPr>
      </w:pPr>
    </w:p>
    <w:p w14:paraId="15D07CA8" w14:textId="77777777" w:rsidR="001A23D9" w:rsidRDefault="001A23D9" w:rsidP="0056059E">
      <w:pPr>
        <w:spacing w:after="160" w:line="259" w:lineRule="auto"/>
        <w:ind w:left="1440" w:firstLine="720"/>
        <w:rPr>
          <w:rFonts w:ascii="Garamond" w:eastAsia="Calibri" w:hAnsi="Garamond" w:cs="Sanskrit Text"/>
          <w:b/>
          <w:bCs/>
          <w:sz w:val="24"/>
          <w:szCs w:val="24"/>
          <w:u w:val="single"/>
        </w:rPr>
      </w:pPr>
    </w:p>
    <w:p w14:paraId="515A2EA7" w14:textId="77777777" w:rsidR="0067654B" w:rsidRDefault="0067654B" w:rsidP="0056059E">
      <w:pPr>
        <w:spacing w:after="160" w:line="259" w:lineRule="auto"/>
        <w:ind w:left="1440" w:firstLine="720"/>
        <w:rPr>
          <w:rFonts w:ascii="Garamond" w:eastAsia="Calibri" w:hAnsi="Garamond" w:cs="Sanskrit Text"/>
          <w:b/>
          <w:bCs/>
          <w:sz w:val="24"/>
          <w:szCs w:val="24"/>
          <w:u w:val="single"/>
        </w:rPr>
      </w:pPr>
    </w:p>
    <w:p w14:paraId="5C9C0E42" w14:textId="77777777" w:rsidR="0067654B" w:rsidRDefault="0067654B" w:rsidP="0056059E">
      <w:pPr>
        <w:spacing w:after="160" w:line="259" w:lineRule="auto"/>
        <w:ind w:left="1440" w:firstLine="720"/>
        <w:rPr>
          <w:rFonts w:ascii="Garamond" w:eastAsia="Calibri" w:hAnsi="Garamond" w:cs="Sanskrit Text"/>
          <w:b/>
          <w:bCs/>
          <w:sz w:val="24"/>
          <w:szCs w:val="24"/>
          <w:u w:val="single"/>
        </w:rPr>
      </w:pPr>
    </w:p>
    <w:p w14:paraId="35D796DE" w14:textId="77777777" w:rsidR="0067654B" w:rsidRDefault="0067654B" w:rsidP="0056059E">
      <w:pPr>
        <w:spacing w:after="160" w:line="259" w:lineRule="auto"/>
        <w:ind w:left="1440" w:firstLine="720"/>
        <w:rPr>
          <w:rFonts w:ascii="Garamond" w:eastAsia="Calibri" w:hAnsi="Garamond" w:cs="Sanskrit Text"/>
          <w:b/>
          <w:bCs/>
          <w:sz w:val="24"/>
          <w:szCs w:val="24"/>
          <w:u w:val="single"/>
        </w:rPr>
      </w:pPr>
    </w:p>
    <w:p w14:paraId="0D754D12" w14:textId="29E64E20" w:rsidR="0056059E" w:rsidRPr="001A23D9" w:rsidRDefault="004717B0" w:rsidP="0056059E">
      <w:pPr>
        <w:spacing w:after="160" w:line="259" w:lineRule="auto"/>
        <w:ind w:left="1440" w:firstLine="720"/>
        <w:rPr>
          <w:rFonts w:ascii="Garamond" w:eastAsia="Calibri" w:hAnsi="Garamond" w:cs="Sanskrit Text"/>
          <w:b/>
          <w:bCs/>
          <w:sz w:val="24"/>
          <w:szCs w:val="24"/>
          <w:u w:val="single"/>
        </w:rPr>
      </w:pPr>
      <w:r w:rsidRPr="001A23D9">
        <w:rPr>
          <w:rFonts w:ascii="Garamond" w:eastAsia="Calibri" w:hAnsi="Garamond" w:cs="Sanskrit Text"/>
          <w:b/>
          <w:bCs/>
          <w:sz w:val="24"/>
          <w:szCs w:val="24"/>
          <w:u w:val="single"/>
        </w:rPr>
        <w:t>202</w:t>
      </w:r>
      <w:r w:rsidR="00501DC4">
        <w:rPr>
          <w:rFonts w:ascii="Garamond" w:eastAsia="Calibri" w:hAnsi="Garamond" w:cs="Sanskrit Text"/>
          <w:b/>
          <w:bCs/>
          <w:sz w:val="24"/>
          <w:szCs w:val="24"/>
          <w:u w:val="single"/>
        </w:rPr>
        <w:t>4</w:t>
      </w:r>
      <w:r w:rsidRPr="001A23D9">
        <w:rPr>
          <w:rFonts w:ascii="Garamond" w:eastAsia="Calibri" w:hAnsi="Garamond" w:cs="Sanskrit Text"/>
          <w:b/>
          <w:bCs/>
          <w:sz w:val="24"/>
          <w:szCs w:val="24"/>
          <w:u w:val="single"/>
        </w:rPr>
        <w:t xml:space="preserve"> SELECTED YIELD RATES BY INDUSTRY</w:t>
      </w:r>
    </w:p>
    <w:p w14:paraId="16D85443" w14:textId="0425524E" w:rsidR="00457171" w:rsidRPr="001A23D9" w:rsidRDefault="00457171" w:rsidP="0056059E">
      <w:pPr>
        <w:spacing w:after="160" w:line="259" w:lineRule="auto"/>
        <w:ind w:left="1440" w:firstLine="720"/>
        <w:rPr>
          <w:rFonts w:ascii="Garamond" w:eastAsia="Calibri" w:hAnsi="Garamond" w:cs="Sanskrit Text"/>
          <w:b/>
          <w:bCs/>
          <w:sz w:val="24"/>
          <w:szCs w:val="24"/>
          <w:u w:val="single"/>
        </w:rPr>
      </w:pPr>
    </w:p>
    <w:p w14:paraId="681A678E" w14:textId="30FF78CB" w:rsidR="0056059E" w:rsidRPr="001A23D9" w:rsidRDefault="0056059E" w:rsidP="0056059E">
      <w:pPr>
        <w:spacing w:after="160" w:line="259" w:lineRule="auto"/>
        <w:ind w:left="2160"/>
        <w:rPr>
          <w:rFonts w:ascii="Garamond" w:eastAsia="Calibri" w:hAnsi="Garamond" w:cs="Sanskrit Text"/>
          <w:b/>
          <w:bCs/>
          <w:sz w:val="24"/>
          <w:szCs w:val="24"/>
        </w:rPr>
      </w:pPr>
      <w:r w:rsidRPr="001A23D9">
        <w:rPr>
          <w:rFonts w:ascii="Garamond" w:eastAsia="Calibri" w:hAnsi="Garamond" w:cs="Sanskrit Text"/>
          <w:b/>
          <w:bCs/>
          <w:sz w:val="24"/>
          <w:szCs w:val="24"/>
        </w:rPr>
        <w:t>Investor-Owned Electric</w:t>
      </w:r>
      <w:r w:rsidR="0007620B" w:rsidRPr="001A23D9">
        <w:rPr>
          <w:rFonts w:ascii="Garamond" w:eastAsia="Calibri" w:hAnsi="Garamond" w:cs="Sanskrit Text"/>
          <w:b/>
          <w:bCs/>
          <w:sz w:val="24"/>
          <w:szCs w:val="24"/>
        </w:rPr>
        <w:t>s</w:t>
      </w:r>
      <w:r w:rsidR="0007620B" w:rsidRPr="001A23D9">
        <w:rPr>
          <w:rFonts w:ascii="Garamond" w:eastAsia="Calibri" w:hAnsi="Garamond" w:cs="Sanskrit Text"/>
          <w:b/>
          <w:bCs/>
          <w:sz w:val="24"/>
          <w:szCs w:val="24"/>
        </w:rPr>
        <w:tab/>
      </w:r>
      <w:r w:rsidR="0007620B" w:rsidRPr="001A23D9">
        <w:rPr>
          <w:rFonts w:ascii="Garamond" w:eastAsia="Calibri" w:hAnsi="Garamond" w:cs="Sanskrit Text"/>
          <w:b/>
          <w:bCs/>
          <w:sz w:val="24"/>
          <w:szCs w:val="24"/>
        </w:rPr>
        <w:tab/>
      </w:r>
      <w:r w:rsidR="0007620B" w:rsidRPr="001A23D9">
        <w:rPr>
          <w:rFonts w:ascii="Garamond" w:eastAsia="Calibri" w:hAnsi="Garamond" w:cs="Sanskrit Text"/>
          <w:b/>
          <w:bCs/>
          <w:sz w:val="24"/>
          <w:szCs w:val="24"/>
        </w:rPr>
        <w:tab/>
      </w:r>
      <w:r w:rsidR="00FC269A">
        <w:rPr>
          <w:rFonts w:ascii="Garamond" w:eastAsia="Calibri" w:hAnsi="Garamond" w:cs="Sanskrit Text"/>
          <w:b/>
          <w:bCs/>
          <w:sz w:val="24"/>
          <w:szCs w:val="24"/>
        </w:rPr>
        <w:t>7.74</w:t>
      </w:r>
      <w:r w:rsidRPr="001A23D9">
        <w:rPr>
          <w:rFonts w:ascii="Garamond" w:eastAsia="Calibri" w:hAnsi="Garamond" w:cs="Sanskrit Text"/>
          <w:b/>
          <w:bCs/>
          <w:sz w:val="24"/>
          <w:szCs w:val="24"/>
        </w:rPr>
        <w:t>%</w:t>
      </w:r>
    </w:p>
    <w:p w14:paraId="58039F61" w14:textId="2A063025" w:rsidR="0056059E" w:rsidRPr="001A23D9" w:rsidRDefault="0056059E" w:rsidP="0056059E">
      <w:pPr>
        <w:spacing w:after="0" w:line="360" w:lineRule="auto"/>
        <w:ind w:left="1440" w:firstLine="720"/>
        <w:rPr>
          <w:rFonts w:ascii="Garamond" w:eastAsia="Calibri" w:hAnsi="Garamond" w:cs="Sanskrit Text"/>
          <w:b/>
          <w:bCs/>
          <w:sz w:val="24"/>
          <w:szCs w:val="24"/>
        </w:rPr>
      </w:pPr>
      <w:r w:rsidRPr="001A23D9">
        <w:rPr>
          <w:rFonts w:ascii="Garamond" w:eastAsia="Calibri" w:hAnsi="Garamond" w:cs="Sanskrit Text"/>
          <w:b/>
          <w:bCs/>
          <w:sz w:val="24"/>
          <w:szCs w:val="24"/>
        </w:rPr>
        <w:t>Railroads</w:t>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sz w:val="24"/>
          <w:szCs w:val="24"/>
        </w:rPr>
        <w:t>Class I</w:t>
      </w:r>
      <w:r w:rsidR="0007620B" w:rsidRPr="001A23D9">
        <w:rPr>
          <w:rFonts w:ascii="Garamond" w:eastAsia="Calibri" w:hAnsi="Garamond" w:cs="Sanskrit Text"/>
          <w:b/>
          <w:bCs/>
          <w:sz w:val="24"/>
          <w:szCs w:val="24"/>
        </w:rPr>
        <w:tab/>
      </w:r>
      <w:r w:rsidR="0007620B" w:rsidRPr="001A23D9">
        <w:rPr>
          <w:rFonts w:ascii="Garamond" w:eastAsia="Calibri" w:hAnsi="Garamond" w:cs="Sanskrit Text"/>
          <w:b/>
          <w:bCs/>
          <w:sz w:val="24"/>
          <w:szCs w:val="24"/>
        </w:rPr>
        <w:tab/>
      </w:r>
      <w:r w:rsidR="0007620B" w:rsidRPr="001A23D9">
        <w:rPr>
          <w:rFonts w:ascii="Garamond" w:eastAsia="Calibri" w:hAnsi="Garamond" w:cs="Sanskrit Text"/>
          <w:b/>
          <w:bCs/>
          <w:sz w:val="24"/>
          <w:szCs w:val="24"/>
        </w:rPr>
        <w:tab/>
      </w:r>
      <w:r w:rsidR="0007620B" w:rsidRPr="001A23D9">
        <w:rPr>
          <w:rFonts w:ascii="Garamond" w:eastAsia="Calibri" w:hAnsi="Garamond" w:cs="Sanskrit Text"/>
          <w:b/>
          <w:bCs/>
          <w:sz w:val="24"/>
          <w:szCs w:val="24"/>
        </w:rPr>
        <w:tab/>
      </w:r>
      <w:r w:rsidR="0007620B" w:rsidRPr="001A23D9">
        <w:rPr>
          <w:rFonts w:ascii="Garamond" w:eastAsia="Calibri" w:hAnsi="Garamond" w:cs="Sanskrit Text"/>
          <w:b/>
          <w:bCs/>
          <w:sz w:val="24"/>
          <w:szCs w:val="24"/>
        </w:rPr>
        <w:tab/>
      </w:r>
      <w:r w:rsidR="00285643">
        <w:rPr>
          <w:rFonts w:ascii="Garamond" w:eastAsia="Calibri" w:hAnsi="Garamond" w:cs="Sanskrit Text"/>
          <w:b/>
          <w:bCs/>
          <w:sz w:val="24"/>
          <w:szCs w:val="24"/>
        </w:rPr>
        <w:t>10.16</w:t>
      </w:r>
      <w:r w:rsidRPr="001A23D9">
        <w:rPr>
          <w:rFonts w:ascii="Garamond" w:eastAsia="Calibri" w:hAnsi="Garamond" w:cs="Sanskrit Text"/>
          <w:b/>
          <w:bCs/>
          <w:sz w:val="24"/>
          <w:szCs w:val="24"/>
        </w:rPr>
        <w:t>%</w:t>
      </w:r>
    </w:p>
    <w:p w14:paraId="1E06428D" w14:textId="28625A41" w:rsidR="0056059E" w:rsidRPr="001A23D9" w:rsidRDefault="0056059E" w:rsidP="0056059E">
      <w:pPr>
        <w:spacing w:after="0" w:line="360" w:lineRule="auto"/>
        <w:rPr>
          <w:rFonts w:ascii="Garamond" w:eastAsia="Calibri" w:hAnsi="Garamond" w:cs="Sanskrit Text"/>
          <w:b/>
          <w:bCs/>
          <w:sz w:val="24"/>
          <w:szCs w:val="24"/>
        </w:rPr>
      </w:pP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sz w:val="24"/>
          <w:szCs w:val="24"/>
        </w:rPr>
        <w:t>Class II</w:t>
      </w:r>
      <w:r w:rsidR="00501DC4">
        <w:rPr>
          <w:rFonts w:ascii="Garamond" w:eastAsia="Calibri" w:hAnsi="Garamond" w:cs="Sanskrit Text"/>
          <w:sz w:val="24"/>
          <w:szCs w:val="24"/>
        </w:rPr>
        <w:t>I</w:t>
      </w:r>
      <w:r w:rsidR="0007620B" w:rsidRPr="001A23D9">
        <w:rPr>
          <w:rFonts w:ascii="Garamond" w:eastAsia="Calibri" w:hAnsi="Garamond" w:cs="Sanskrit Text"/>
          <w:b/>
          <w:bCs/>
          <w:sz w:val="24"/>
          <w:szCs w:val="24"/>
        </w:rPr>
        <w:tab/>
      </w:r>
      <w:r w:rsidR="0007620B" w:rsidRPr="001A23D9">
        <w:rPr>
          <w:rFonts w:ascii="Garamond" w:eastAsia="Calibri" w:hAnsi="Garamond" w:cs="Sanskrit Text"/>
          <w:b/>
          <w:bCs/>
          <w:sz w:val="24"/>
          <w:szCs w:val="24"/>
        </w:rPr>
        <w:tab/>
      </w:r>
      <w:r w:rsidR="0007620B" w:rsidRPr="001A23D9">
        <w:rPr>
          <w:rFonts w:ascii="Garamond" w:eastAsia="Calibri" w:hAnsi="Garamond" w:cs="Sanskrit Text"/>
          <w:b/>
          <w:bCs/>
          <w:sz w:val="24"/>
          <w:szCs w:val="24"/>
        </w:rPr>
        <w:tab/>
      </w:r>
      <w:r w:rsidR="008B30BE">
        <w:rPr>
          <w:rFonts w:ascii="Garamond" w:eastAsia="Calibri" w:hAnsi="Garamond" w:cs="Sanskrit Text"/>
          <w:b/>
          <w:bCs/>
          <w:sz w:val="24"/>
          <w:szCs w:val="24"/>
        </w:rPr>
        <w:tab/>
      </w:r>
      <w:r w:rsidR="00501DC4">
        <w:rPr>
          <w:rFonts w:ascii="Garamond" w:eastAsia="Calibri" w:hAnsi="Garamond" w:cs="Sanskrit Text"/>
          <w:b/>
          <w:bCs/>
          <w:sz w:val="24"/>
          <w:szCs w:val="24"/>
        </w:rPr>
        <w:t>11.30</w:t>
      </w:r>
      <w:r w:rsidRPr="001A23D9">
        <w:rPr>
          <w:rFonts w:ascii="Garamond" w:eastAsia="Calibri" w:hAnsi="Garamond" w:cs="Sanskrit Text"/>
          <w:b/>
          <w:bCs/>
          <w:sz w:val="24"/>
          <w:szCs w:val="24"/>
        </w:rPr>
        <w:t>%</w:t>
      </w:r>
    </w:p>
    <w:p w14:paraId="70366507" w14:textId="7D170585" w:rsidR="0056059E" w:rsidRPr="001A23D9" w:rsidRDefault="0056059E" w:rsidP="00501DC4">
      <w:pPr>
        <w:spacing w:after="0" w:line="360" w:lineRule="auto"/>
        <w:rPr>
          <w:rFonts w:ascii="Garamond" w:eastAsia="Calibri" w:hAnsi="Garamond" w:cs="Sanskrit Text"/>
          <w:b/>
          <w:bCs/>
          <w:sz w:val="24"/>
          <w:szCs w:val="24"/>
        </w:rPr>
      </w:pP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t>Petroleum Pipelines</w:t>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008B30BE">
        <w:rPr>
          <w:rFonts w:ascii="Garamond" w:eastAsia="Calibri" w:hAnsi="Garamond" w:cs="Sanskrit Text"/>
          <w:b/>
          <w:bCs/>
          <w:sz w:val="24"/>
          <w:szCs w:val="24"/>
        </w:rPr>
        <w:tab/>
      </w:r>
      <w:r w:rsidR="002A6682">
        <w:rPr>
          <w:rFonts w:ascii="Garamond" w:eastAsia="Calibri" w:hAnsi="Garamond" w:cs="Sanskrit Text"/>
          <w:b/>
          <w:bCs/>
          <w:sz w:val="24"/>
          <w:szCs w:val="24"/>
        </w:rPr>
        <w:t>10.</w:t>
      </w:r>
      <w:r w:rsidR="00ED28DE">
        <w:rPr>
          <w:rFonts w:ascii="Garamond" w:eastAsia="Calibri" w:hAnsi="Garamond" w:cs="Sanskrit Text"/>
          <w:b/>
          <w:bCs/>
          <w:sz w:val="24"/>
          <w:szCs w:val="24"/>
        </w:rPr>
        <w:t>2</w:t>
      </w:r>
      <w:r w:rsidR="002A6682">
        <w:rPr>
          <w:rFonts w:ascii="Garamond" w:eastAsia="Calibri" w:hAnsi="Garamond" w:cs="Sanskrit Text"/>
          <w:b/>
          <w:bCs/>
          <w:sz w:val="24"/>
          <w:szCs w:val="24"/>
        </w:rPr>
        <w:t>0</w:t>
      </w:r>
      <w:r w:rsidRPr="001A23D9">
        <w:rPr>
          <w:rFonts w:ascii="Garamond" w:eastAsia="Calibri" w:hAnsi="Garamond" w:cs="Sanskrit Text"/>
          <w:b/>
          <w:bCs/>
          <w:sz w:val="24"/>
          <w:szCs w:val="24"/>
        </w:rPr>
        <w:t>%</w:t>
      </w:r>
    </w:p>
    <w:p w14:paraId="71CEA71D" w14:textId="5B22DB33" w:rsidR="0056059E" w:rsidRPr="001A23D9" w:rsidRDefault="0056059E" w:rsidP="0056059E">
      <w:pPr>
        <w:spacing w:after="160" w:line="259" w:lineRule="auto"/>
        <w:ind w:left="1440" w:firstLine="720"/>
        <w:rPr>
          <w:rFonts w:ascii="Garamond" w:eastAsia="Calibri" w:hAnsi="Garamond" w:cs="Sanskrit Text"/>
          <w:b/>
          <w:bCs/>
          <w:sz w:val="24"/>
          <w:szCs w:val="24"/>
        </w:rPr>
      </w:pPr>
      <w:r w:rsidRPr="001A23D9">
        <w:rPr>
          <w:rFonts w:ascii="Garamond" w:eastAsia="Calibri" w:hAnsi="Garamond" w:cs="Sanskrit Text"/>
          <w:b/>
          <w:bCs/>
          <w:sz w:val="24"/>
          <w:szCs w:val="24"/>
        </w:rPr>
        <w:t>Telecommunications</w:t>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008B30BE">
        <w:rPr>
          <w:rFonts w:ascii="Garamond" w:eastAsia="Calibri" w:hAnsi="Garamond" w:cs="Sanskrit Text"/>
          <w:b/>
          <w:bCs/>
          <w:sz w:val="24"/>
          <w:szCs w:val="24"/>
        </w:rPr>
        <w:tab/>
      </w:r>
      <w:r w:rsidR="00086E5C">
        <w:rPr>
          <w:rFonts w:ascii="Garamond" w:eastAsia="Calibri" w:hAnsi="Garamond" w:cs="Sanskrit Text"/>
          <w:b/>
          <w:bCs/>
          <w:sz w:val="24"/>
          <w:szCs w:val="24"/>
        </w:rPr>
        <w:t>9</w:t>
      </w:r>
      <w:r w:rsidR="002A6682">
        <w:rPr>
          <w:rFonts w:ascii="Garamond" w:eastAsia="Calibri" w:hAnsi="Garamond" w:cs="Sanskrit Text"/>
          <w:b/>
          <w:bCs/>
          <w:sz w:val="24"/>
          <w:szCs w:val="24"/>
        </w:rPr>
        <w:t>.</w:t>
      </w:r>
      <w:r w:rsidR="00ED734F">
        <w:rPr>
          <w:rFonts w:ascii="Garamond" w:eastAsia="Calibri" w:hAnsi="Garamond" w:cs="Sanskrit Text"/>
          <w:b/>
          <w:bCs/>
          <w:sz w:val="24"/>
          <w:szCs w:val="24"/>
        </w:rPr>
        <w:t>55</w:t>
      </w:r>
      <w:r w:rsidRPr="001A23D9">
        <w:rPr>
          <w:rFonts w:ascii="Garamond" w:eastAsia="Calibri" w:hAnsi="Garamond" w:cs="Sanskrit Text"/>
          <w:b/>
          <w:bCs/>
          <w:sz w:val="24"/>
          <w:szCs w:val="24"/>
        </w:rPr>
        <w:t>%</w:t>
      </w:r>
    </w:p>
    <w:p w14:paraId="1FEE0131" w14:textId="087CA63A" w:rsidR="0056059E" w:rsidRPr="001A23D9" w:rsidRDefault="0056059E" w:rsidP="0056059E">
      <w:pPr>
        <w:spacing w:after="160" w:line="259" w:lineRule="auto"/>
        <w:ind w:left="1440" w:firstLine="720"/>
        <w:rPr>
          <w:rFonts w:ascii="Garamond" w:eastAsia="Calibri" w:hAnsi="Garamond" w:cs="Sanskrit Text"/>
          <w:b/>
          <w:bCs/>
          <w:sz w:val="24"/>
          <w:szCs w:val="24"/>
        </w:rPr>
      </w:pPr>
      <w:r w:rsidRPr="001A23D9">
        <w:rPr>
          <w:rFonts w:ascii="Garamond" w:eastAsia="Calibri" w:hAnsi="Garamond" w:cs="Sanskrit Text"/>
          <w:b/>
          <w:bCs/>
          <w:sz w:val="24"/>
          <w:szCs w:val="24"/>
        </w:rPr>
        <w:t xml:space="preserve">Gas Distribution </w:t>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00827174" w:rsidRPr="001A23D9">
        <w:rPr>
          <w:rFonts w:ascii="Garamond" w:eastAsia="Calibri" w:hAnsi="Garamond" w:cs="Sanskrit Text"/>
          <w:b/>
          <w:bCs/>
          <w:sz w:val="24"/>
          <w:szCs w:val="24"/>
        </w:rPr>
        <w:tab/>
      </w:r>
      <w:r w:rsidR="002A6682">
        <w:rPr>
          <w:rFonts w:ascii="Garamond" w:eastAsia="Calibri" w:hAnsi="Garamond" w:cs="Sanskrit Text"/>
          <w:b/>
          <w:bCs/>
          <w:sz w:val="24"/>
          <w:szCs w:val="24"/>
        </w:rPr>
        <w:t>7.</w:t>
      </w:r>
      <w:r w:rsidR="00501DC4">
        <w:rPr>
          <w:rFonts w:ascii="Garamond" w:eastAsia="Calibri" w:hAnsi="Garamond" w:cs="Sanskrit Text"/>
          <w:b/>
          <w:bCs/>
          <w:sz w:val="24"/>
          <w:szCs w:val="24"/>
        </w:rPr>
        <w:t>9</w:t>
      </w:r>
      <w:r w:rsidR="002A6682">
        <w:rPr>
          <w:rFonts w:ascii="Garamond" w:eastAsia="Calibri" w:hAnsi="Garamond" w:cs="Sanskrit Text"/>
          <w:b/>
          <w:bCs/>
          <w:sz w:val="24"/>
          <w:szCs w:val="24"/>
        </w:rPr>
        <w:t>1</w:t>
      </w:r>
      <w:r w:rsidRPr="001A23D9">
        <w:rPr>
          <w:rFonts w:ascii="Garamond" w:eastAsia="Calibri" w:hAnsi="Garamond" w:cs="Sanskrit Text"/>
          <w:b/>
          <w:bCs/>
          <w:sz w:val="24"/>
          <w:szCs w:val="24"/>
        </w:rPr>
        <w:t>%</w:t>
      </w:r>
    </w:p>
    <w:p w14:paraId="08B07FCF" w14:textId="7D3FA7BD" w:rsidR="0056059E" w:rsidRPr="001A23D9" w:rsidRDefault="0056059E" w:rsidP="0056059E">
      <w:pPr>
        <w:spacing w:after="160" w:line="259" w:lineRule="auto"/>
        <w:ind w:left="1440" w:firstLine="720"/>
        <w:rPr>
          <w:rFonts w:ascii="Garamond" w:eastAsia="Calibri" w:hAnsi="Garamond" w:cs="Sanskrit Text"/>
          <w:b/>
          <w:bCs/>
          <w:sz w:val="24"/>
          <w:szCs w:val="24"/>
        </w:rPr>
      </w:pPr>
      <w:r w:rsidRPr="001A23D9">
        <w:rPr>
          <w:rFonts w:ascii="Garamond" w:eastAsia="Calibri" w:hAnsi="Garamond" w:cs="Sanskrit Text"/>
          <w:b/>
          <w:bCs/>
          <w:sz w:val="24"/>
          <w:szCs w:val="24"/>
        </w:rPr>
        <w:t>Gas Transmission</w:t>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00827174" w:rsidRPr="001A23D9">
        <w:rPr>
          <w:rFonts w:ascii="Garamond" w:eastAsia="Calibri" w:hAnsi="Garamond" w:cs="Sanskrit Text"/>
          <w:b/>
          <w:bCs/>
          <w:sz w:val="24"/>
          <w:szCs w:val="24"/>
        </w:rPr>
        <w:tab/>
      </w:r>
      <w:r w:rsidR="002A6682">
        <w:rPr>
          <w:rFonts w:ascii="Garamond" w:eastAsia="Calibri" w:hAnsi="Garamond" w:cs="Sanskrit Text"/>
          <w:b/>
          <w:bCs/>
          <w:sz w:val="24"/>
          <w:szCs w:val="24"/>
        </w:rPr>
        <w:t>10.</w:t>
      </w:r>
      <w:r w:rsidR="00501DC4">
        <w:rPr>
          <w:rFonts w:ascii="Garamond" w:eastAsia="Calibri" w:hAnsi="Garamond" w:cs="Sanskrit Text"/>
          <w:b/>
          <w:bCs/>
          <w:sz w:val="24"/>
          <w:szCs w:val="24"/>
        </w:rPr>
        <w:t>08</w:t>
      </w:r>
      <w:r w:rsidRPr="001A23D9">
        <w:rPr>
          <w:rFonts w:ascii="Garamond" w:eastAsia="Calibri" w:hAnsi="Garamond" w:cs="Sanskrit Text"/>
          <w:b/>
          <w:bCs/>
          <w:sz w:val="24"/>
          <w:szCs w:val="24"/>
        </w:rPr>
        <w:t>%</w:t>
      </w:r>
    </w:p>
    <w:p w14:paraId="7623D4DA" w14:textId="05FB29D8" w:rsidR="0056059E" w:rsidRPr="001A23D9" w:rsidRDefault="0056059E" w:rsidP="0056059E">
      <w:pPr>
        <w:spacing w:after="160" w:line="259" w:lineRule="auto"/>
        <w:ind w:left="1440" w:firstLine="720"/>
        <w:rPr>
          <w:rFonts w:ascii="Garamond" w:eastAsia="Calibri" w:hAnsi="Garamond" w:cs="Sanskrit Text"/>
          <w:b/>
          <w:bCs/>
          <w:sz w:val="24"/>
          <w:szCs w:val="24"/>
        </w:rPr>
      </w:pPr>
      <w:r w:rsidRPr="001A23D9">
        <w:rPr>
          <w:rFonts w:ascii="Garamond" w:eastAsia="Calibri" w:hAnsi="Garamond" w:cs="Sanskrit Text"/>
          <w:b/>
          <w:bCs/>
          <w:sz w:val="24"/>
          <w:szCs w:val="24"/>
        </w:rPr>
        <w:t>Water Transportation</w:t>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002A6682">
        <w:rPr>
          <w:rFonts w:ascii="Garamond" w:eastAsia="Calibri" w:hAnsi="Garamond" w:cs="Sanskrit Text"/>
          <w:b/>
          <w:bCs/>
          <w:sz w:val="24"/>
          <w:szCs w:val="24"/>
        </w:rPr>
        <w:t>9.5</w:t>
      </w:r>
      <w:r w:rsidR="00ED28DE">
        <w:rPr>
          <w:rFonts w:ascii="Garamond" w:eastAsia="Calibri" w:hAnsi="Garamond" w:cs="Sanskrit Text"/>
          <w:b/>
          <w:bCs/>
          <w:sz w:val="24"/>
          <w:szCs w:val="24"/>
        </w:rPr>
        <w:t>7</w:t>
      </w:r>
      <w:r w:rsidRPr="001A23D9">
        <w:rPr>
          <w:rFonts w:ascii="Garamond" w:eastAsia="Calibri" w:hAnsi="Garamond" w:cs="Sanskrit Text"/>
          <w:b/>
          <w:bCs/>
          <w:sz w:val="24"/>
          <w:szCs w:val="24"/>
        </w:rPr>
        <w:t>%</w:t>
      </w:r>
    </w:p>
    <w:p w14:paraId="57A9B949" w14:textId="59A9C1C8" w:rsidR="0056059E" w:rsidRPr="001A23D9" w:rsidRDefault="0056059E" w:rsidP="0056059E">
      <w:pPr>
        <w:spacing w:after="160" w:line="259" w:lineRule="auto"/>
        <w:ind w:left="2160"/>
        <w:rPr>
          <w:rFonts w:ascii="Garamond" w:eastAsia="Calibri" w:hAnsi="Garamond" w:cs="Sanskrit Text"/>
          <w:b/>
          <w:bCs/>
          <w:sz w:val="24"/>
          <w:szCs w:val="24"/>
        </w:rPr>
      </w:pPr>
      <w:r w:rsidRPr="001A23D9">
        <w:rPr>
          <w:rFonts w:ascii="Garamond" w:eastAsia="Calibri" w:hAnsi="Garamond" w:cs="Sanskrit Text"/>
          <w:b/>
          <w:bCs/>
          <w:sz w:val="24"/>
          <w:szCs w:val="24"/>
        </w:rPr>
        <w:t>Water Distribution</w:t>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00827174" w:rsidRPr="001A23D9">
        <w:rPr>
          <w:rFonts w:ascii="Garamond" w:eastAsia="Calibri" w:hAnsi="Garamond" w:cs="Sanskrit Text"/>
          <w:b/>
          <w:bCs/>
          <w:sz w:val="24"/>
          <w:szCs w:val="24"/>
        </w:rPr>
        <w:tab/>
      </w:r>
      <w:r w:rsidR="002A6682">
        <w:rPr>
          <w:rFonts w:ascii="Garamond" w:eastAsia="Calibri" w:hAnsi="Garamond" w:cs="Sanskrit Text"/>
          <w:b/>
          <w:bCs/>
          <w:sz w:val="24"/>
          <w:szCs w:val="24"/>
        </w:rPr>
        <w:t>7.</w:t>
      </w:r>
      <w:r w:rsidR="00362752">
        <w:rPr>
          <w:rFonts w:ascii="Garamond" w:eastAsia="Calibri" w:hAnsi="Garamond" w:cs="Sanskrit Text"/>
          <w:b/>
          <w:bCs/>
          <w:sz w:val="24"/>
          <w:szCs w:val="24"/>
        </w:rPr>
        <w:t>2</w:t>
      </w:r>
      <w:r w:rsidR="0067654B">
        <w:rPr>
          <w:rFonts w:ascii="Garamond" w:eastAsia="Calibri" w:hAnsi="Garamond" w:cs="Sanskrit Text"/>
          <w:b/>
          <w:bCs/>
          <w:sz w:val="24"/>
          <w:szCs w:val="24"/>
        </w:rPr>
        <w:t>3</w:t>
      </w:r>
      <w:r w:rsidRPr="001A23D9">
        <w:rPr>
          <w:rFonts w:ascii="Garamond" w:eastAsia="Calibri" w:hAnsi="Garamond" w:cs="Sanskrit Text"/>
          <w:b/>
          <w:bCs/>
          <w:sz w:val="24"/>
          <w:szCs w:val="24"/>
        </w:rPr>
        <w:t>%</w:t>
      </w:r>
      <w:r w:rsidRPr="001A23D9">
        <w:rPr>
          <w:rFonts w:ascii="Garamond" w:eastAsia="Calibri" w:hAnsi="Garamond" w:cs="Sanskrit Text"/>
          <w:b/>
          <w:bCs/>
          <w:sz w:val="24"/>
          <w:szCs w:val="24"/>
        </w:rPr>
        <w:tab/>
      </w:r>
    </w:p>
    <w:p w14:paraId="25361CBB" w14:textId="77777777" w:rsidR="0056059E" w:rsidRPr="001A23D9" w:rsidRDefault="0056059E" w:rsidP="0056059E">
      <w:pPr>
        <w:spacing w:after="0" w:line="360" w:lineRule="auto"/>
        <w:ind w:left="1440" w:firstLine="720"/>
        <w:rPr>
          <w:rFonts w:ascii="Garamond" w:eastAsia="Calibri" w:hAnsi="Garamond" w:cs="Sanskrit Text"/>
          <w:b/>
          <w:bCs/>
          <w:sz w:val="24"/>
          <w:szCs w:val="24"/>
        </w:rPr>
      </w:pPr>
      <w:r w:rsidRPr="001A23D9">
        <w:rPr>
          <w:rFonts w:ascii="Garamond" w:eastAsia="Calibri" w:hAnsi="Garamond" w:cs="Sanskrit Text"/>
          <w:b/>
          <w:bCs/>
          <w:sz w:val="24"/>
          <w:szCs w:val="24"/>
        </w:rPr>
        <w:t>Non- Utility Generators</w:t>
      </w:r>
    </w:p>
    <w:p w14:paraId="27F90B66" w14:textId="0BAAF7FC" w:rsidR="0056059E" w:rsidRPr="001A23D9" w:rsidRDefault="0056059E" w:rsidP="0056059E">
      <w:pPr>
        <w:spacing w:after="0" w:line="360" w:lineRule="auto"/>
        <w:rPr>
          <w:rFonts w:ascii="Garamond" w:eastAsia="Calibri" w:hAnsi="Garamond" w:cs="Sanskrit Text"/>
          <w:b/>
          <w:bCs/>
          <w:sz w:val="24"/>
          <w:szCs w:val="24"/>
        </w:rPr>
      </w:pP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008C36CA" w:rsidRPr="001B790D">
        <w:rPr>
          <w:rFonts w:ascii="Garamond" w:eastAsia="Calibri" w:hAnsi="Garamond" w:cs="Sanskrit Text"/>
          <w:sz w:val="24"/>
          <w:szCs w:val="24"/>
        </w:rPr>
        <w:t>&lt;1 mW Hydro</w:t>
      </w:r>
      <w:r w:rsidR="008C36CA" w:rsidRPr="001A23D9">
        <w:rPr>
          <w:rFonts w:ascii="Garamond" w:eastAsia="Calibri" w:hAnsi="Garamond" w:cs="Sanskrit Text"/>
          <w:sz w:val="24"/>
          <w:szCs w:val="24"/>
        </w:rPr>
        <w:t xml:space="preserve"> </w:t>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00827174" w:rsidRPr="001A23D9">
        <w:rPr>
          <w:rFonts w:ascii="Garamond" w:eastAsia="Calibri" w:hAnsi="Garamond" w:cs="Sanskrit Text"/>
          <w:b/>
          <w:bCs/>
          <w:sz w:val="24"/>
          <w:szCs w:val="24"/>
        </w:rPr>
        <w:tab/>
      </w:r>
      <w:r w:rsidR="00285643">
        <w:rPr>
          <w:rFonts w:ascii="Garamond" w:eastAsia="Calibri" w:hAnsi="Garamond" w:cs="Sanskrit Text"/>
          <w:b/>
          <w:bCs/>
          <w:sz w:val="24"/>
          <w:szCs w:val="24"/>
        </w:rPr>
        <w:t>15.66</w:t>
      </w:r>
      <w:r w:rsidR="0022291A" w:rsidRPr="001A23D9">
        <w:rPr>
          <w:rFonts w:ascii="Garamond" w:eastAsia="Calibri" w:hAnsi="Garamond" w:cs="Sanskrit Text"/>
          <w:b/>
          <w:bCs/>
          <w:sz w:val="24"/>
          <w:szCs w:val="24"/>
        </w:rPr>
        <w:t>%</w:t>
      </w:r>
      <w:r w:rsidRPr="001A23D9">
        <w:rPr>
          <w:rFonts w:ascii="Garamond" w:eastAsia="Calibri" w:hAnsi="Garamond" w:cs="Sanskrit Text"/>
          <w:b/>
          <w:bCs/>
          <w:sz w:val="24"/>
          <w:szCs w:val="24"/>
        </w:rPr>
        <w:tab/>
      </w:r>
    </w:p>
    <w:p w14:paraId="18371D40" w14:textId="26C4BE1E" w:rsidR="0056059E" w:rsidRPr="001A23D9" w:rsidRDefault="0056059E" w:rsidP="0056059E">
      <w:pPr>
        <w:spacing w:after="0" w:line="360" w:lineRule="auto"/>
        <w:rPr>
          <w:rFonts w:ascii="Garamond" w:eastAsia="Calibri" w:hAnsi="Garamond" w:cs="Sanskrit Text"/>
          <w:b/>
          <w:bCs/>
          <w:sz w:val="24"/>
          <w:szCs w:val="24"/>
        </w:rPr>
      </w:pP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008C36CA" w:rsidRPr="001B790D">
        <w:rPr>
          <w:rFonts w:ascii="Garamond" w:eastAsia="Calibri" w:hAnsi="Garamond" w:cs="Sanskrit Text"/>
          <w:sz w:val="24"/>
          <w:szCs w:val="24"/>
        </w:rPr>
        <w:t>1-10 mW Hydro</w:t>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00285643">
        <w:rPr>
          <w:rFonts w:ascii="Garamond" w:eastAsia="Calibri" w:hAnsi="Garamond" w:cs="Sanskrit Text"/>
          <w:b/>
          <w:bCs/>
          <w:sz w:val="24"/>
          <w:szCs w:val="24"/>
        </w:rPr>
        <w:t>15.55</w:t>
      </w:r>
      <w:r w:rsidR="0022291A" w:rsidRPr="001A23D9">
        <w:rPr>
          <w:rFonts w:ascii="Garamond" w:eastAsia="Calibri" w:hAnsi="Garamond" w:cs="Sanskrit Text"/>
          <w:b/>
          <w:bCs/>
          <w:sz w:val="24"/>
          <w:szCs w:val="24"/>
        </w:rPr>
        <w:t>%</w:t>
      </w:r>
    </w:p>
    <w:p w14:paraId="1569E7E2" w14:textId="757EF80D" w:rsidR="0056059E" w:rsidRPr="001A23D9" w:rsidRDefault="0056059E" w:rsidP="0056059E">
      <w:pPr>
        <w:spacing w:after="160" w:line="240" w:lineRule="auto"/>
        <w:rPr>
          <w:rFonts w:ascii="Garamond" w:eastAsia="Calibri" w:hAnsi="Garamond" w:cs="Sanskrit Text"/>
          <w:b/>
          <w:bCs/>
          <w:sz w:val="24"/>
          <w:szCs w:val="24"/>
        </w:rPr>
      </w:pP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008C36CA" w:rsidRPr="001B790D">
        <w:rPr>
          <w:rFonts w:ascii="Garamond" w:eastAsia="Calibri" w:hAnsi="Garamond" w:cs="Sanskrit Text"/>
          <w:sz w:val="24"/>
          <w:szCs w:val="24"/>
        </w:rPr>
        <w:t>&gt;10 mW Hydro</w:t>
      </w:r>
      <w:r w:rsidR="008C36CA" w:rsidRPr="001A23D9">
        <w:rPr>
          <w:rFonts w:ascii="Garamond" w:eastAsia="Calibri" w:hAnsi="Garamond" w:cs="Sanskrit Text"/>
          <w:b/>
          <w:bCs/>
          <w:sz w:val="24"/>
          <w:szCs w:val="24"/>
        </w:rPr>
        <w:t xml:space="preserve"> </w:t>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00827174" w:rsidRPr="001A23D9">
        <w:rPr>
          <w:rFonts w:ascii="Garamond" w:eastAsia="Calibri" w:hAnsi="Garamond" w:cs="Sanskrit Text"/>
          <w:b/>
          <w:bCs/>
          <w:sz w:val="24"/>
          <w:szCs w:val="24"/>
        </w:rPr>
        <w:tab/>
      </w:r>
      <w:r w:rsidR="00285643">
        <w:rPr>
          <w:rFonts w:ascii="Garamond" w:eastAsia="Calibri" w:hAnsi="Garamond" w:cs="Sanskrit Text"/>
          <w:b/>
          <w:bCs/>
          <w:sz w:val="24"/>
          <w:szCs w:val="24"/>
        </w:rPr>
        <w:t>14.30</w:t>
      </w:r>
      <w:r w:rsidR="0022291A" w:rsidRPr="001A23D9">
        <w:rPr>
          <w:rFonts w:ascii="Garamond" w:eastAsia="Calibri" w:hAnsi="Garamond" w:cs="Sanskrit Text"/>
          <w:b/>
          <w:bCs/>
          <w:sz w:val="24"/>
          <w:szCs w:val="24"/>
        </w:rPr>
        <w:t>%</w:t>
      </w:r>
    </w:p>
    <w:p w14:paraId="1AF19575" w14:textId="152D769A" w:rsidR="0056059E" w:rsidRPr="001A23D9" w:rsidRDefault="008C36CA" w:rsidP="0056059E">
      <w:pPr>
        <w:spacing w:after="160" w:line="259" w:lineRule="auto"/>
        <w:rPr>
          <w:rFonts w:ascii="Garamond" w:eastAsia="Calibri" w:hAnsi="Garamond" w:cs="Sanskrit Text"/>
          <w:sz w:val="24"/>
          <w:szCs w:val="24"/>
        </w:rPr>
      </w:pP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A23D9">
        <w:rPr>
          <w:rFonts w:ascii="Garamond" w:eastAsia="Calibri" w:hAnsi="Garamond" w:cs="Sanskrit Text"/>
          <w:b/>
          <w:bCs/>
          <w:sz w:val="24"/>
          <w:szCs w:val="24"/>
        </w:rPr>
        <w:tab/>
      </w:r>
      <w:r w:rsidRPr="001B790D">
        <w:rPr>
          <w:rFonts w:ascii="Garamond" w:eastAsia="Calibri" w:hAnsi="Garamond" w:cs="Sanskrit Text"/>
          <w:sz w:val="24"/>
          <w:szCs w:val="24"/>
        </w:rPr>
        <w:t xml:space="preserve">&gt;10 </w:t>
      </w:r>
      <w:r w:rsidR="00952116" w:rsidRPr="001B790D">
        <w:rPr>
          <w:rFonts w:ascii="Garamond" w:eastAsia="Calibri" w:hAnsi="Garamond" w:cs="Sanskrit Text"/>
          <w:sz w:val="24"/>
          <w:szCs w:val="24"/>
        </w:rPr>
        <w:t>mW Gas-Fired</w:t>
      </w:r>
      <w:r w:rsidR="00B6061A" w:rsidRPr="001A23D9">
        <w:rPr>
          <w:rFonts w:ascii="Garamond" w:eastAsia="Calibri" w:hAnsi="Garamond" w:cs="Sanskrit Text"/>
          <w:sz w:val="24"/>
          <w:szCs w:val="24"/>
        </w:rPr>
        <w:tab/>
      </w:r>
      <w:r w:rsidR="00B6061A" w:rsidRPr="001A23D9">
        <w:rPr>
          <w:rFonts w:ascii="Garamond" w:eastAsia="Calibri" w:hAnsi="Garamond" w:cs="Sanskrit Text"/>
          <w:sz w:val="24"/>
          <w:szCs w:val="24"/>
        </w:rPr>
        <w:tab/>
      </w:r>
      <w:r w:rsidR="00B6061A" w:rsidRPr="001A23D9">
        <w:rPr>
          <w:rFonts w:ascii="Garamond" w:eastAsia="Calibri" w:hAnsi="Garamond" w:cs="Sanskrit Text"/>
          <w:sz w:val="24"/>
          <w:szCs w:val="24"/>
        </w:rPr>
        <w:tab/>
      </w:r>
      <w:r w:rsidR="00285643">
        <w:rPr>
          <w:rFonts w:ascii="Garamond" w:eastAsia="Calibri" w:hAnsi="Garamond" w:cs="Sanskrit Text"/>
          <w:b/>
          <w:bCs/>
          <w:sz w:val="24"/>
          <w:szCs w:val="24"/>
        </w:rPr>
        <w:t>13.28</w:t>
      </w:r>
      <w:r w:rsidR="0022291A" w:rsidRPr="001A23D9">
        <w:rPr>
          <w:rFonts w:ascii="Garamond" w:eastAsia="Calibri" w:hAnsi="Garamond" w:cs="Sanskrit Text"/>
          <w:b/>
          <w:bCs/>
          <w:sz w:val="24"/>
          <w:szCs w:val="24"/>
        </w:rPr>
        <w:t>%</w:t>
      </w:r>
      <w:r w:rsidR="00B6061A" w:rsidRPr="001A23D9">
        <w:rPr>
          <w:rFonts w:ascii="Garamond" w:eastAsia="Calibri" w:hAnsi="Garamond" w:cs="Sanskrit Text"/>
          <w:sz w:val="24"/>
          <w:szCs w:val="24"/>
        </w:rPr>
        <w:tab/>
      </w:r>
    </w:p>
    <w:p w14:paraId="6CAF091D" w14:textId="7EE2B1E3" w:rsidR="00952116" w:rsidRPr="001A23D9" w:rsidRDefault="00952116" w:rsidP="0056059E">
      <w:pPr>
        <w:spacing w:after="160" w:line="259" w:lineRule="auto"/>
        <w:rPr>
          <w:rFonts w:ascii="Garamond" w:eastAsia="Calibri" w:hAnsi="Garamond" w:cs="Sanskrit Text"/>
          <w:sz w:val="24"/>
          <w:szCs w:val="24"/>
        </w:rPr>
      </w:pPr>
      <w:r w:rsidRPr="001A23D9">
        <w:rPr>
          <w:rFonts w:ascii="Garamond" w:eastAsia="Calibri" w:hAnsi="Garamond" w:cs="Sanskrit Text"/>
          <w:sz w:val="24"/>
          <w:szCs w:val="24"/>
        </w:rPr>
        <w:tab/>
      </w:r>
      <w:r w:rsidRPr="001A23D9">
        <w:rPr>
          <w:rFonts w:ascii="Garamond" w:eastAsia="Calibri" w:hAnsi="Garamond" w:cs="Sanskrit Text"/>
          <w:sz w:val="24"/>
          <w:szCs w:val="24"/>
        </w:rPr>
        <w:tab/>
      </w:r>
      <w:r w:rsidRPr="001A23D9">
        <w:rPr>
          <w:rFonts w:ascii="Garamond" w:eastAsia="Calibri" w:hAnsi="Garamond" w:cs="Sanskrit Text"/>
          <w:sz w:val="24"/>
          <w:szCs w:val="24"/>
        </w:rPr>
        <w:tab/>
      </w:r>
      <w:r w:rsidRPr="001A23D9">
        <w:rPr>
          <w:rFonts w:ascii="Garamond" w:eastAsia="Calibri" w:hAnsi="Garamond" w:cs="Sanskrit Text"/>
          <w:sz w:val="24"/>
          <w:szCs w:val="24"/>
        </w:rPr>
        <w:tab/>
      </w:r>
      <w:r w:rsidRPr="001B790D">
        <w:rPr>
          <w:rFonts w:ascii="Garamond" w:eastAsia="Calibri" w:hAnsi="Garamond" w:cs="Sanskrit Text"/>
          <w:sz w:val="24"/>
          <w:szCs w:val="24"/>
        </w:rPr>
        <w:t>1-10 mW Digester</w:t>
      </w:r>
      <w:r w:rsidR="00B6061A" w:rsidRPr="001A23D9">
        <w:rPr>
          <w:rFonts w:ascii="Garamond" w:eastAsia="Calibri" w:hAnsi="Garamond" w:cs="Sanskrit Text"/>
          <w:sz w:val="24"/>
          <w:szCs w:val="24"/>
        </w:rPr>
        <w:tab/>
      </w:r>
      <w:r w:rsidR="00B6061A" w:rsidRPr="001A23D9">
        <w:rPr>
          <w:rFonts w:ascii="Garamond" w:eastAsia="Calibri" w:hAnsi="Garamond" w:cs="Sanskrit Text"/>
          <w:sz w:val="24"/>
          <w:szCs w:val="24"/>
        </w:rPr>
        <w:tab/>
      </w:r>
      <w:r w:rsidR="00B6061A" w:rsidRPr="001A23D9">
        <w:rPr>
          <w:rFonts w:ascii="Garamond" w:eastAsia="Calibri" w:hAnsi="Garamond" w:cs="Sanskrit Text"/>
          <w:sz w:val="24"/>
          <w:szCs w:val="24"/>
        </w:rPr>
        <w:tab/>
      </w:r>
      <w:r w:rsidR="00285643">
        <w:rPr>
          <w:rFonts w:ascii="Garamond" w:eastAsia="Calibri" w:hAnsi="Garamond" w:cs="Sanskrit Text"/>
          <w:b/>
          <w:bCs/>
          <w:sz w:val="24"/>
          <w:szCs w:val="24"/>
        </w:rPr>
        <w:t>15.51</w:t>
      </w:r>
      <w:r w:rsidR="0022291A" w:rsidRPr="001A23D9">
        <w:rPr>
          <w:rFonts w:ascii="Garamond" w:eastAsia="Calibri" w:hAnsi="Garamond" w:cs="Sanskrit Text"/>
          <w:b/>
          <w:bCs/>
          <w:sz w:val="24"/>
          <w:szCs w:val="24"/>
        </w:rPr>
        <w:t>%</w:t>
      </w:r>
    </w:p>
    <w:bookmarkEnd w:id="0"/>
    <w:p w14:paraId="06FDBA12" w14:textId="4ED7EF06" w:rsidR="007A03B2" w:rsidRPr="001A23D9" w:rsidRDefault="007A03B2" w:rsidP="0049666C">
      <w:pPr>
        <w:rPr>
          <w:rFonts w:ascii="Garamond" w:hAnsi="Garamond" w:cs="Sanskrit Text"/>
          <w:b/>
          <w:sz w:val="24"/>
          <w:szCs w:val="24"/>
        </w:rPr>
      </w:pPr>
    </w:p>
    <w:p w14:paraId="4CF992A5" w14:textId="1D7B9923" w:rsidR="007A03B2" w:rsidRPr="001A23D9" w:rsidRDefault="007A03B2" w:rsidP="0049666C">
      <w:pPr>
        <w:rPr>
          <w:rFonts w:ascii="Garamond" w:hAnsi="Garamond" w:cs="Sanskrit Text"/>
          <w:b/>
          <w:sz w:val="24"/>
          <w:szCs w:val="24"/>
        </w:rPr>
      </w:pPr>
    </w:p>
    <w:p w14:paraId="29AE9B59" w14:textId="112425A7" w:rsidR="007A03B2" w:rsidRPr="001A23D9" w:rsidRDefault="007A03B2" w:rsidP="0049666C">
      <w:pPr>
        <w:rPr>
          <w:rFonts w:ascii="Garamond" w:hAnsi="Garamond" w:cs="Sanskrit Text"/>
          <w:b/>
          <w:sz w:val="24"/>
          <w:szCs w:val="24"/>
        </w:rPr>
      </w:pPr>
    </w:p>
    <w:sectPr w:rsidR="007A03B2" w:rsidRPr="001A23D9" w:rsidSect="006A481F">
      <w:footerReference w:type="default" r:id="rId20"/>
      <w:headerReference w:type="first" r:id="rId21"/>
      <w:footerReference w:type="first" r:id="rId22"/>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80852" w14:textId="77777777" w:rsidR="00DB3BCC" w:rsidRDefault="00DB3BCC" w:rsidP="00EB7312">
      <w:pPr>
        <w:spacing w:after="0" w:line="240" w:lineRule="auto"/>
      </w:pPr>
      <w:r>
        <w:separator/>
      </w:r>
    </w:p>
  </w:endnote>
  <w:endnote w:type="continuationSeparator" w:id="0">
    <w:p w14:paraId="0EBA04D2" w14:textId="77777777" w:rsidR="00DB3BCC" w:rsidRDefault="00DB3BCC" w:rsidP="00EB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anskrit Text">
    <w:charset w:val="00"/>
    <w:family w:val="roman"/>
    <w:pitch w:val="variable"/>
    <w:sig w:usb0="A000804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10328"/>
      <w:docPartObj>
        <w:docPartGallery w:val="Page Numbers (Bottom of Page)"/>
        <w:docPartUnique/>
      </w:docPartObj>
    </w:sdtPr>
    <w:sdtEndPr>
      <w:rPr>
        <w:noProof/>
      </w:rPr>
    </w:sdtEndPr>
    <w:sdtContent>
      <w:p w14:paraId="27FA275A" w14:textId="07B2D60F" w:rsidR="004A2F3C" w:rsidRDefault="004A2F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A749F0" w14:textId="77777777" w:rsidR="004A2F3C" w:rsidRDefault="004A2F3C" w:rsidP="00B430FD">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97AD5" w14:textId="36855A69" w:rsidR="004A2F3C" w:rsidRDefault="00D201E3" w:rsidP="00C9185E">
    <w:pPr>
      <w:pStyle w:val="Footer"/>
      <w:jc w:val="center"/>
    </w:pPr>
    <w:r>
      <w:rPr>
        <w:noProof/>
      </w:rPr>
      <mc:AlternateContent>
        <mc:Choice Requires="wpg">
          <w:drawing>
            <wp:anchor distT="0" distB="0" distL="114300" distR="114300" simplePos="0" relativeHeight="251660288" behindDoc="0" locked="0" layoutInCell="1" allowOverlap="1" wp14:anchorId="3338CEDF" wp14:editId="2E98C9E0">
              <wp:simplePos x="0" y="0"/>
              <wp:positionH relativeFrom="page">
                <wp:align>left</wp:align>
              </wp:positionH>
              <wp:positionV relativeFrom="bottomMargin">
                <wp:align>center</wp:align>
              </wp:positionV>
              <wp:extent cx="5943600" cy="274320"/>
              <wp:effectExtent l="0" t="0" r="0" b="0"/>
              <wp:wrapNone/>
              <wp:docPr id="20925081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4833D5" w14:textId="4875A031" w:rsidR="00D201E3" w:rsidRDefault="00D201E3">
                            <w:pPr>
                              <w:pStyle w:val="Footer"/>
                              <w:tabs>
                                <w:tab w:val="clear" w:pos="4680"/>
                                <w:tab w:val="clear" w:pos="9360"/>
                              </w:tabs>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Pr>
                                    <w:color w:val="808080" w:themeColor="background1" w:themeShade="80"/>
                                    <w:sz w:val="20"/>
                                    <w:szCs w:val="20"/>
                                  </w:rPr>
                                  <w:t>Idaho</w:t>
                                </w:r>
                              </w:sdtContent>
                            </w:sdt>
                            <w:r>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Pr>
                                    <w:caps/>
                                    <w:color w:val="808080" w:themeColor="background1" w:themeShade="80"/>
                                    <w:sz w:val="20"/>
                                    <w:szCs w:val="20"/>
                                  </w:rPr>
                                  <w:t>Idaho State Tax Commission</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3338CEDF" id="Group 2" o:spid="_x0000_s1026" style="position:absolute;left:0;text-align:left;margin-left:0;margin-top:0;width:468pt;height:21.6pt;z-index:251660288;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274833D5" w14:textId="4875A031" w:rsidR="00D201E3" w:rsidRDefault="00D201E3">
                      <w:pPr>
                        <w:pStyle w:val="Footer"/>
                        <w:tabs>
                          <w:tab w:val="clear" w:pos="4680"/>
                          <w:tab w:val="clear" w:pos="9360"/>
                        </w:tabs>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Pr>
                              <w:color w:val="808080" w:themeColor="background1" w:themeShade="80"/>
                              <w:sz w:val="20"/>
                              <w:szCs w:val="20"/>
                            </w:rPr>
                            <w:t>Idaho</w:t>
                          </w:r>
                        </w:sdtContent>
                      </w:sdt>
                      <w:r>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Pr>
                              <w:caps/>
                              <w:color w:val="808080" w:themeColor="background1" w:themeShade="80"/>
                              <w:sz w:val="20"/>
                              <w:szCs w:val="20"/>
                            </w:rPr>
                            <w:t>Idaho State Tax Commission</w:t>
                          </w:r>
                        </w:sdtContent>
                      </w:sdt>
                    </w:p>
                  </w:txbxContent>
                </v:textbox>
              </v:shape>
              <w10:wrap anchorx="page" anchory="margin"/>
            </v:group>
          </w:pict>
        </mc:Fallback>
      </mc:AlternateContent>
    </w:r>
    <w:r>
      <w:t>EPB00680_05-23-2024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F8D2A" w14:textId="77777777" w:rsidR="00DB3BCC" w:rsidRDefault="00DB3BCC" w:rsidP="00EB7312">
      <w:pPr>
        <w:spacing w:after="0" w:line="240" w:lineRule="auto"/>
      </w:pPr>
      <w:r>
        <w:separator/>
      </w:r>
    </w:p>
  </w:footnote>
  <w:footnote w:type="continuationSeparator" w:id="0">
    <w:p w14:paraId="22A11945" w14:textId="77777777" w:rsidR="00DB3BCC" w:rsidRDefault="00DB3BCC" w:rsidP="00EB7312">
      <w:pPr>
        <w:spacing w:after="0" w:line="240" w:lineRule="auto"/>
      </w:pPr>
      <w:r>
        <w:continuationSeparator/>
      </w:r>
    </w:p>
  </w:footnote>
  <w:footnote w:id="1">
    <w:p w14:paraId="7D0A0E25" w14:textId="1A7C1DC6" w:rsidR="004A2F3C" w:rsidRPr="00B84997" w:rsidRDefault="004A2F3C" w:rsidP="0056059E">
      <w:pPr>
        <w:pStyle w:val="FootnoteText"/>
        <w:rPr>
          <w:rFonts w:ascii="Times New Roman" w:hAnsi="Times New Roman" w:cs="Times New Roman"/>
        </w:rPr>
      </w:pPr>
      <w:r w:rsidRPr="00B84997">
        <w:rPr>
          <w:rStyle w:val="FootnoteReference"/>
          <w:rFonts w:ascii="Times New Roman" w:hAnsi="Times New Roman" w:cs="Times New Roman"/>
        </w:rPr>
        <w:footnoteRef/>
      </w:r>
      <w:r w:rsidRPr="00B84997">
        <w:rPr>
          <w:rFonts w:ascii="Times New Roman" w:hAnsi="Times New Roman" w:cs="Times New Roman"/>
        </w:rPr>
        <w:t xml:space="preserve"> See Idaho Code </w:t>
      </w:r>
      <w:r>
        <w:rPr>
          <w:rFonts w:asciiTheme="majorHAnsi" w:eastAsia="Calibri" w:hAnsiTheme="majorHAnsi" w:cs="Sanskrit Text"/>
        </w:rPr>
        <w:t>§</w:t>
      </w:r>
      <w:r w:rsidRPr="00B84997">
        <w:rPr>
          <w:rFonts w:ascii="Times New Roman" w:hAnsi="Times New Roman" w:cs="Times New Roman"/>
        </w:rPr>
        <w:t>63-201 (16) for a definition of operating property.</w:t>
      </w:r>
    </w:p>
  </w:footnote>
  <w:footnote w:id="2">
    <w:p w14:paraId="0366E7C5" w14:textId="268EE2CA" w:rsidR="004A2F3C" w:rsidRPr="00B84997" w:rsidRDefault="004A2F3C">
      <w:pPr>
        <w:pStyle w:val="FootnoteText"/>
        <w:rPr>
          <w:rFonts w:ascii="Times New Roman" w:hAnsi="Times New Roman" w:cs="Times New Roman"/>
        </w:rPr>
      </w:pPr>
      <w:r w:rsidRPr="00B84997">
        <w:rPr>
          <w:rStyle w:val="FootnoteReference"/>
          <w:rFonts w:ascii="Times New Roman" w:hAnsi="Times New Roman" w:cs="Times New Roman"/>
        </w:rPr>
        <w:footnoteRef/>
      </w:r>
      <w:r w:rsidRPr="00B84997">
        <w:rPr>
          <w:rFonts w:ascii="Times New Roman" w:hAnsi="Times New Roman" w:cs="Times New Roman"/>
        </w:rPr>
        <w:t xml:space="preserve"> Idaho Code </w:t>
      </w:r>
      <w:r>
        <w:rPr>
          <w:rFonts w:asciiTheme="majorHAnsi" w:eastAsia="Calibri" w:hAnsiTheme="majorHAnsi" w:cs="Sanskrit Text"/>
        </w:rPr>
        <w:t>§</w:t>
      </w:r>
      <w:r w:rsidRPr="00B84997">
        <w:rPr>
          <w:rFonts w:ascii="Times New Roman" w:hAnsi="Times New Roman" w:cs="Times New Roman"/>
        </w:rPr>
        <w:t>63-205</w:t>
      </w:r>
    </w:p>
  </w:footnote>
  <w:footnote w:id="3">
    <w:p w14:paraId="2CDBAF7D" w14:textId="432E9660" w:rsidR="004A2F3C" w:rsidRPr="00B84997" w:rsidRDefault="004A2F3C">
      <w:pPr>
        <w:pStyle w:val="FootnoteText"/>
        <w:rPr>
          <w:rFonts w:ascii="Times New Roman" w:hAnsi="Times New Roman" w:cs="Times New Roman"/>
        </w:rPr>
      </w:pPr>
      <w:r w:rsidRPr="00B84997">
        <w:rPr>
          <w:rStyle w:val="FootnoteReference"/>
          <w:rFonts w:ascii="Times New Roman" w:hAnsi="Times New Roman" w:cs="Times New Roman"/>
        </w:rPr>
        <w:footnoteRef/>
      </w:r>
      <w:r w:rsidRPr="00B84997">
        <w:rPr>
          <w:rFonts w:ascii="Times New Roman" w:hAnsi="Times New Roman" w:cs="Times New Roman"/>
        </w:rPr>
        <w:t xml:space="preserve"> Idaho Administrative Code, State Tax Commission, Property Tax Administrative Rules IDAPA 35.01.03.405.06</w:t>
      </w:r>
    </w:p>
  </w:footnote>
  <w:footnote w:id="4">
    <w:p w14:paraId="2978FD94" w14:textId="1B4E1404" w:rsidR="004A2F3C" w:rsidRDefault="004A2F3C" w:rsidP="00DD5D1F">
      <w:pPr>
        <w:pStyle w:val="FootnoteText"/>
      </w:pPr>
      <w:r>
        <w:rPr>
          <w:rStyle w:val="FootnoteReference"/>
        </w:rPr>
        <w:footnoteRef/>
      </w:r>
      <w:r>
        <w:t xml:space="preserve"> </w:t>
      </w:r>
      <w:r w:rsidRPr="00821DFB">
        <w:rPr>
          <w:rFonts w:ascii="Times New Roman" w:hAnsi="Times New Roman" w:cs="Times New Roman"/>
        </w:rPr>
        <w:t>Western States Association of Tax Administrators, Committee on Centrally Assessed Property, Appraisal Handbook, Unit Valuation of Centrally Assessed Properties, 2009, pg. III-1</w:t>
      </w:r>
    </w:p>
  </w:footnote>
  <w:footnote w:id="5">
    <w:p w14:paraId="268429B4" w14:textId="64802A65" w:rsidR="004A2F3C" w:rsidRDefault="004A2F3C" w:rsidP="001F547F">
      <w:pPr>
        <w:pStyle w:val="FootnoteText"/>
      </w:pPr>
      <w:r>
        <w:rPr>
          <w:rStyle w:val="FootnoteReference"/>
        </w:rPr>
        <w:footnoteRef/>
      </w:r>
      <w:r>
        <w:t xml:space="preserve"> </w:t>
      </w:r>
      <w:r w:rsidRPr="000049E7">
        <w:rPr>
          <w:rFonts w:ascii="Times New Roman" w:hAnsi="Times New Roman" w:cs="Times New Roman"/>
        </w:rPr>
        <w:t>National Conference of Unit Valuation States (</w:t>
      </w:r>
      <w:r w:rsidRPr="00CE75A9">
        <w:rPr>
          <w:rFonts w:ascii="Times New Roman" w:hAnsi="Times New Roman" w:cs="Times New Roman"/>
        </w:rPr>
        <w:t>NCUVS</w:t>
      </w:r>
      <w:r w:rsidRPr="000049E7">
        <w:rPr>
          <w:rFonts w:ascii="Times New Roman" w:hAnsi="Times New Roman" w:cs="Times New Roman"/>
        </w:rPr>
        <w:t>) Unit Valuation Standards, revised 10/2018</w:t>
      </w:r>
      <w:r>
        <w:rPr>
          <w:rFonts w:ascii="Times New Roman" w:hAnsi="Times New Roman" w:cs="Times New Roman"/>
        </w:rPr>
        <w:t>,</w:t>
      </w:r>
      <w:r w:rsidRPr="00821DFB">
        <w:t xml:space="preserve"> </w:t>
      </w:r>
      <w:r>
        <w:t>Section IV. C.5(c),</w:t>
      </w:r>
      <w:r>
        <w:rPr>
          <w:rFonts w:ascii="Times New Roman" w:hAnsi="Times New Roman" w:cs="Times New Roman"/>
        </w:rPr>
        <w:t xml:space="preserve"> pg. 7</w:t>
      </w:r>
    </w:p>
  </w:footnote>
  <w:footnote w:id="6">
    <w:p w14:paraId="3A2FA62D" w14:textId="77777777" w:rsidR="004A2F3C" w:rsidRPr="00B84997" w:rsidRDefault="004A2F3C" w:rsidP="0056059E">
      <w:pPr>
        <w:pStyle w:val="FootnoteText"/>
        <w:rPr>
          <w:rFonts w:ascii="Times New Roman" w:hAnsi="Times New Roman" w:cs="Times New Roman"/>
        </w:rPr>
      </w:pPr>
      <w:r w:rsidRPr="00B84997">
        <w:rPr>
          <w:rStyle w:val="FootnoteReference"/>
          <w:rFonts w:ascii="Times New Roman" w:hAnsi="Times New Roman" w:cs="Times New Roman"/>
        </w:rPr>
        <w:footnoteRef/>
      </w:r>
      <w:r w:rsidRPr="00B84997">
        <w:rPr>
          <w:rFonts w:ascii="Times New Roman" w:hAnsi="Times New Roman" w:cs="Times New Roman"/>
        </w:rPr>
        <w:t xml:space="preserve"> National Standards of Unitary Valuation, Unit Valuation Standards, revised 10/2018, </w:t>
      </w:r>
      <w:bookmarkStart w:id="2" w:name="_Hlk66446495"/>
      <w:r w:rsidRPr="00B84997">
        <w:rPr>
          <w:rFonts w:ascii="Times New Roman" w:hAnsi="Times New Roman" w:cs="Times New Roman"/>
        </w:rPr>
        <w:t xml:space="preserve">Section IV. C.5(c)., </w:t>
      </w:r>
      <w:bookmarkEnd w:id="2"/>
      <w:r w:rsidRPr="00B84997">
        <w:rPr>
          <w:rFonts w:ascii="Times New Roman" w:hAnsi="Times New Roman" w:cs="Times New Roman"/>
        </w:rPr>
        <w:t>pg.7</w:t>
      </w:r>
    </w:p>
  </w:footnote>
  <w:footnote w:id="7">
    <w:p w14:paraId="5106D939" w14:textId="77777777" w:rsidR="004A2F3C" w:rsidRPr="00B84997" w:rsidRDefault="004A2F3C" w:rsidP="0056059E">
      <w:pPr>
        <w:pStyle w:val="FootnoteText"/>
        <w:rPr>
          <w:rFonts w:ascii="Times New Roman" w:hAnsi="Times New Roman" w:cs="Times New Roman"/>
        </w:rPr>
      </w:pPr>
      <w:r w:rsidRPr="00B84997">
        <w:rPr>
          <w:rStyle w:val="FootnoteReference"/>
          <w:rFonts w:ascii="Times New Roman" w:hAnsi="Times New Roman" w:cs="Times New Roman"/>
        </w:rPr>
        <w:footnoteRef/>
      </w:r>
      <w:r w:rsidRPr="00B84997">
        <w:rPr>
          <w:rFonts w:ascii="Times New Roman" w:hAnsi="Times New Roman" w:cs="Times New Roman"/>
        </w:rPr>
        <w:t xml:space="preserve"> Brealey, Richard A. &amp; Myers, Stewart C.et. al, </w:t>
      </w:r>
      <w:r w:rsidRPr="00B84997">
        <w:rPr>
          <w:rFonts w:ascii="Times New Roman" w:hAnsi="Times New Roman" w:cs="Times New Roman"/>
          <w:i/>
          <w:iCs/>
        </w:rPr>
        <w:t>Principles of Corporate Finance</w:t>
      </w:r>
      <w:r w:rsidRPr="00B84997">
        <w:rPr>
          <w:rFonts w:ascii="Times New Roman" w:hAnsi="Times New Roman" w:cs="Times New Roman"/>
        </w:rPr>
        <w:t>, 13</w:t>
      </w:r>
      <w:r w:rsidRPr="00B84997">
        <w:rPr>
          <w:rFonts w:ascii="Times New Roman" w:hAnsi="Times New Roman" w:cs="Times New Roman"/>
          <w:vertAlign w:val="superscript"/>
        </w:rPr>
        <w:t>th</w:t>
      </w:r>
      <w:r w:rsidRPr="00B84997">
        <w:rPr>
          <w:rFonts w:ascii="Times New Roman" w:hAnsi="Times New Roman" w:cs="Times New Roman"/>
        </w:rPr>
        <w:t xml:space="preserve"> Edition, 2020, pg. 115</w:t>
      </w:r>
    </w:p>
    <w:p w14:paraId="346B297A" w14:textId="2DBEAC57" w:rsidR="004A2F3C" w:rsidRPr="00B84997" w:rsidRDefault="004A2F3C" w:rsidP="0056059E">
      <w:pPr>
        <w:pStyle w:val="FootnoteText"/>
        <w:rPr>
          <w:rFonts w:ascii="Times New Roman" w:hAnsi="Times New Roman" w:cs="Times New Roman"/>
        </w:rPr>
      </w:pPr>
    </w:p>
  </w:footnote>
  <w:footnote w:id="8">
    <w:p w14:paraId="06468EF9" w14:textId="7B7AB458" w:rsidR="00CD6C6E" w:rsidRPr="009F31B6" w:rsidRDefault="00CD6C6E">
      <w:pPr>
        <w:pStyle w:val="FootnoteText"/>
        <w:rPr>
          <w:color w:val="000000" w:themeColor="text1"/>
        </w:rPr>
      </w:pPr>
      <w:r w:rsidRPr="009F31B6">
        <w:rPr>
          <w:rStyle w:val="FootnoteReference"/>
          <w:color w:val="000000" w:themeColor="text1"/>
        </w:rPr>
        <w:footnoteRef/>
      </w:r>
      <w:r w:rsidRPr="009F31B6">
        <w:rPr>
          <w:color w:val="000000" w:themeColor="text1"/>
        </w:rPr>
        <w:t xml:space="preserve"> </w:t>
      </w:r>
      <w:hyperlink r:id="rId1" w:history="1">
        <w:r w:rsidR="009F31B6" w:rsidRPr="009F31B6">
          <w:rPr>
            <w:rStyle w:val="Hyperlink"/>
            <w:rFonts w:ascii="Times New Roman" w:hAnsi="Times New Roman" w:cs="Times New Roman"/>
            <w:color w:val="000000" w:themeColor="text1"/>
          </w:rPr>
          <w:t>https://fred.stlouisfed.org/series/DGS20</w:t>
        </w:r>
      </w:hyperlink>
    </w:p>
  </w:footnote>
  <w:footnote w:id="9">
    <w:p w14:paraId="32A2C134" w14:textId="6654AABF" w:rsidR="009F71E2" w:rsidRPr="00650916" w:rsidRDefault="009F71E2">
      <w:pPr>
        <w:pStyle w:val="FootnoteText"/>
        <w:rPr>
          <w:rFonts w:ascii="Times New Roman" w:hAnsi="Times New Roman" w:cs="Times New Roman"/>
        </w:rPr>
      </w:pPr>
      <w:r w:rsidRPr="00650916">
        <w:rPr>
          <w:rStyle w:val="FootnoteReference"/>
          <w:rFonts w:ascii="Times New Roman" w:hAnsi="Times New Roman" w:cs="Times New Roman"/>
        </w:rPr>
        <w:footnoteRef/>
      </w:r>
      <w:r w:rsidRPr="00650916">
        <w:rPr>
          <w:rFonts w:ascii="Times New Roman" w:hAnsi="Times New Roman" w:cs="Times New Roman"/>
        </w:rPr>
        <w:t xml:space="preserve"> https://aswathdamodaran.blogspot.com/2022/01/</w:t>
      </w:r>
    </w:p>
  </w:footnote>
  <w:footnote w:id="10">
    <w:p w14:paraId="6CC76842" w14:textId="34C0FC84" w:rsidR="00541DFB" w:rsidRPr="00650916" w:rsidRDefault="007A03B2">
      <w:pPr>
        <w:pStyle w:val="FootnoteText"/>
        <w:rPr>
          <w:rFonts w:ascii="Times New Roman" w:hAnsi="Times New Roman" w:cs="Times New Roman"/>
          <w:sz w:val="22"/>
          <w:szCs w:val="22"/>
        </w:rPr>
      </w:pPr>
      <w:r w:rsidRPr="00650916">
        <w:rPr>
          <w:rStyle w:val="FootnoteReference"/>
          <w:rFonts w:ascii="Times New Roman" w:hAnsi="Times New Roman" w:cs="Times New Roman"/>
          <w:sz w:val="22"/>
          <w:szCs w:val="22"/>
        </w:rPr>
        <w:footnoteRef/>
      </w:r>
      <w:r w:rsidRPr="00650916">
        <w:rPr>
          <w:rFonts w:ascii="Times New Roman" w:hAnsi="Times New Roman" w:cs="Times New Roman"/>
          <w:sz w:val="22"/>
          <w:szCs w:val="22"/>
        </w:rPr>
        <w:t xml:space="preserve"> </w:t>
      </w:r>
      <w:r w:rsidR="00B7665E" w:rsidRPr="00650916">
        <w:rPr>
          <w:rFonts w:ascii="Times New Roman" w:hAnsi="Times New Roman" w:cs="Times New Roman"/>
        </w:rPr>
        <w:t>https://seekingalpha.com/article/4663443-data-update-2024-stock-comeback-winning-expectations-game</w:t>
      </w:r>
    </w:p>
  </w:footnote>
  <w:footnote w:id="11">
    <w:p w14:paraId="70DD2383" w14:textId="335CF14C" w:rsidR="004A2F3C" w:rsidRPr="00B84997" w:rsidRDefault="004A2F3C">
      <w:pPr>
        <w:pStyle w:val="FootnoteText"/>
        <w:rPr>
          <w:rFonts w:ascii="Times New Roman" w:hAnsi="Times New Roman" w:cs="Times New Roman"/>
        </w:rPr>
      </w:pPr>
      <w:r w:rsidRPr="00B84997">
        <w:rPr>
          <w:rStyle w:val="FootnoteReference"/>
          <w:rFonts w:ascii="Times New Roman" w:hAnsi="Times New Roman" w:cs="Times New Roman"/>
        </w:rPr>
        <w:footnoteRef/>
      </w:r>
      <w:r w:rsidRPr="00B84997">
        <w:rPr>
          <w:rFonts w:ascii="Times New Roman" w:hAnsi="Times New Roman" w:cs="Times New Roman"/>
        </w:rPr>
        <w:t xml:space="preserve"> Ross, Westerfield, Jordan, </w:t>
      </w:r>
      <w:r w:rsidRPr="00B84997">
        <w:rPr>
          <w:rFonts w:ascii="Times New Roman" w:hAnsi="Times New Roman" w:cs="Times New Roman"/>
          <w:i/>
          <w:iCs/>
        </w:rPr>
        <w:t>Fundamentals of Corporate Finance</w:t>
      </w:r>
      <w:r w:rsidRPr="00B84997">
        <w:rPr>
          <w:rFonts w:ascii="Times New Roman" w:hAnsi="Times New Roman" w:cs="Times New Roman"/>
        </w:rPr>
        <w:t>, 9</w:t>
      </w:r>
      <w:r w:rsidRPr="00B84997">
        <w:rPr>
          <w:rFonts w:ascii="Times New Roman" w:hAnsi="Times New Roman" w:cs="Times New Roman"/>
          <w:vertAlign w:val="superscript"/>
        </w:rPr>
        <w:t>th</w:t>
      </w:r>
      <w:r w:rsidRPr="00B84997">
        <w:rPr>
          <w:rFonts w:ascii="Times New Roman" w:hAnsi="Times New Roman" w:cs="Times New Roman"/>
        </w:rPr>
        <w:t xml:space="preserve"> edition, pg. 416</w:t>
      </w:r>
    </w:p>
  </w:footnote>
  <w:footnote w:id="12">
    <w:p w14:paraId="294F18A1" w14:textId="77777777" w:rsidR="004A2F3C" w:rsidRPr="00B84997" w:rsidRDefault="004A2F3C" w:rsidP="0056059E">
      <w:pPr>
        <w:pStyle w:val="FootnoteText"/>
        <w:rPr>
          <w:rFonts w:ascii="Times New Roman" w:hAnsi="Times New Roman" w:cs="Times New Roman"/>
        </w:rPr>
      </w:pPr>
      <w:r w:rsidRPr="00B84997">
        <w:rPr>
          <w:rStyle w:val="FootnoteReference"/>
          <w:rFonts w:ascii="Times New Roman" w:hAnsi="Times New Roman" w:cs="Times New Roman"/>
        </w:rPr>
        <w:footnoteRef/>
      </w:r>
      <w:r w:rsidRPr="00B84997">
        <w:rPr>
          <w:rFonts w:ascii="Times New Roman" w:hAnsi="Times New Roman" w:cs="Times New Roman"/>
        </w:rPr>
        <w:t xml:space="preserve"> Damodaran, Aswath, </w:t>
      </w:r>
      <w:r w:rsidRPr="00B84997">
        <w:rPr>
          <w:rFonts w:ascii="Times New Roman" w:hAnsi="Times New Roman" w:cs="Times New Roman"/>
          <w:i/>
          <w:iCs/>
        </w:rPr>
        <w:t>Investment Valuation: Tools and Techniques for Determining the Value of Any Asset</w:t>
      </w:r>
      <w:r w:rsidRPr="00B84997">
        <w:rPr>
          <w:rFonts w:ascii="Times New Roman" w:hAnsi="Times New Roman" w:cs="Times New Roman"/>
        </w:rPr>
        <w:t>, 3</w:t>
      </w:r>
      <w:r w:rsidRPr="00B84997">
        <w:rPr>
          <w:rFonts w:ascii="Times New Roman" w:hAnsi="Times New Roman" w:cs="Times New Roman"/>
          <w:vertAlign w:val="superscript"/>
        </w:rPr>
        <w:t>rd</w:t>
      </w:r>
      <w:r w:rsidRPr="00B84997">
        <w:rPr>
          <w:rFonts w:ascii="Times New Roman" w:hAnsi="Times New Roman" w:cs="Times New Roman"/>
        </w:rPr>
        <w:t xml:space="preserve"> Edition, 2012, Ch 13, pg. 327</w:t>
      </w:r>
    </w:p>
  </w:footnote>
  <w:footnote w:id="13">
    <w:p w14:paraId="5A70A849" w14:textId="77777777" w:rsidR="004A2F3C" w:rsidRPr="00B84997" w:rsidRDefault="004A2F3C" w:rsidP="0056059E">
      <w:pPr>
        <w:pStyle w:val="FootnoteText"/>
        <w:rPr>
          <w:rFonts w:ascii="Times New Roman" w:hAnsi="Times New Roman" w:cs="Times New Roman"/>
        </w:rPr>
      </w:pPr>
      <w:r w:rsidRPr="00B84997">
        <w:rPr>
          <w:rStyle w:val="FootnoteReference"/>
          <w:rFonts w:ascii="Times New Roman" w:hAnsi="Times New Roman" w:cs="Times New Roman"/>
        </w:rPr>
        <w:footnoteRef/>
      </w:r>
      <w:r w:rsidRPr="00B84997">
        <w:rPr>
          <w:rFonts w:ascii="Times New Roman" w:hAnsi="Times New Roman" w:cs="Times New Roman"/>
        </w:rPr>
        <w:t xml:space="preserve"> </w:t>
      </w:r>
      <w:bookmarkStart w:id="4" w:name="_Hlk58158603"/>
      <w:r w:rsidRPr="00B84997">
        <w:rPr>
          <w:rFonts w:ascii="Times New Roman" w:hAnsi="Times New Roman" w:cs="Times New Roman"/>
        </w:rPr>
        <w:t xml:space="preserve">CFA Institute, </w:t>
      </w:r>
      <w:r w:rsidRPr="00B84997">
        <w:rPr>
          <w:rFonts w:ascii="Times New Roman" w:hAnsi="Times New Roman" w:cs="Times New Roman"/>
          <w:i/>
          <w:iCs/>
        </w:rPr>
        <w:t>Equity Asset Valuation</w:t>
      </w:r>
      <w:r w:rsidRPr="00B84997">
        <w:rPr>
          <w:rFonts w:ascii="Times New Roman" w:hAnsi="Times New Roman" w:cs="Times New Roman"/>
        </w:rPr>
        <w:t>, 3</w:t>
      </w:r>
      <w:r w:rsidRPr="00B84997">
        <w:rPr>
          <w:rFonts w:ascii="Times New Roman" w:hAnsi="Times New Roman" w:cs="Times New Roman"/>
          <w:vertAlign w:val="superscript"/>
        </w:rPr>
        <w:t>rd</w:t>
      </w:r>
      <w:r w:rsidRPr="00B84997">
        <w:rPr>
          <w:rFonts w:ascii="Times New Roman" w:hAnsi="Times New Roman" w:cs="Times New Roman"/>
        </w:rPr>
        <w:t xml:space="preserve"> Edition, 2015, pg. 246</w:t>
      </w:r>
      <w:bookmarkEnd w:id="4"/>
    </w:p>
  </w:footnote>
  <w:footnote w:id="14">
    <w:p w14:paraId="6524E129" w14:textId="131BE5C0" w:rsidR="004A2F3C" w:rsidRPr="00EC1973" w:rsidRDefault="004A2F3C">
      <w:pPr>
        <w:pStyle w:val="FootnoteText"/>
        <w:rPr>
          <w:rFonts w:ascii="Times New Roman" w:hAnsi="Times New Roman" w:cs="Times New Roman"/>
        </w:rPr>
      </w:pPr>
      <w:r w:rsidRPr="00EC1973">
        <w:rPr>
          <w:rStyle w:val="FootnoteReference"/>
          <w:rFonts w:ascii="Times New Roman" w:hAnsi="Times New Roman" w:cs="Times New Roman"/>
        </w:rPr>
        <w:footnoteRef/>
      </w:r>
      <w:r w:rsidRPr="00EC1973">
        <w:rPr>
          <w:rFonts w:ascii="Times New Roman" w:hAnsi="Times New Roman" w:cs="Times New Roman"/>
        </w:rPr>
        <w:t xml:space="preserve"> </w:t>
      </w:r>
      <w:r w:rsidRPr="004C69E1">
        <w:rPr>
          <w:rFonts w:ascii="Times New Roman" w:hAnsi="Times New Roman" w:cs="Times New Roman"/>
        </w:rPr>
        <w:t>http://people.stern.nyu.edu/adamodar/pdfiles/papers/costofcapital.pdf</w:t>
      </w:r>
      <w:r w:rsidRPr="00EC1973">
        <w:rPr>
          <w:rFonts w:ascii="Times New Roman" w:hAnsi="Times New Roman" w:cs="Times New Roman"/>
        </w:rPr>
        <w:t xml:space="preserve"> </w:t>
      </w:r>
    </w:p>
  </w:footnote>
  <w:footnote w:id="15">
    <w:p w14:paraId="537AEDDE" w14:textId="2F25C43A" w:rsidR="005D5E68" w:rsidRPr="005D5E68" w:rsidRDefault="005D5E68">
      <w:pPr>
        <w:pStyle w:val="FootnoteText"/>
        <w:rPr>
          <w:rFonts w:ascii="Times New Roman" w:hAnsi="Times New Roman" w:cs="Times New Roman"/>
        </w:rPr>
      </w:pPr>
      <w:r>
        <w:rPr>
          <w:rStyle w:val="FootnoteReference"/>
        </w:rPr>
        <w:footnoteRef/>
      </w:r>
      <w:r>
        <w:t xml:space="preserve"> </w:t>
      </w:r>
      <w:r w:rsidRPr="005D5E68">
        <w:rPr>
          <w:rFonts w:ascii="Times New Roman" w:hAnsi="Times New Roman" w:cs="Times New Roman"/>
        </w:rPr>
        <w:t>https://aswathdamodaran.blogspot.com/2011/09/risk-free-rates-and-value-dealing-with.html</w:t>
      </w:r>
    </w:p>
  </w:footnote>
  <w:footnote w:id="16">
    <w:p w14:paraId="598D93A0" w14:textId="5D7C21AF" w:rsidR="004A2F3C" w:rsidRPr="00EC1973" w:rsidRDefault="004A2F3C">
      <w:pPr>
        <w:pStyle w:val="FootnoteText"/>
        <w:rPr>
          <w:rFonts w:ascii="Times New Roman" w:hAnsi="Times New Roman" w:cs="Times New Roman"/>
          <w:iCs/>
        </w:rPr>
      </w:pPr>
      <w:r w:rsidRPr="00EC1973">
        <w:rPr>
          <w:rStyle w:val="FootnoteReference"/>
          <w:rFonts w:ascii="Times New Roman" w:hAnsi="Times New Roman" w:cs="Times New Roman"/>
        </w:rPr>
        <w:footnoteRef/>
      </w:r>
      <w:r w:rsidRPr="00EC1973">
        <w:rPr>
          <w:rFonts w:ascii="Times New Roman" w:hAnsi="Times New Roman" w:cs="Times New Roman"/>
        </w:rPr>
        <w:t xml:space="preserve"> </w:t>
      </w:r>
      <w:r w:rsidRPr="00EC1973">
        <w:rPr>
          <w:rFonts w:ascii="Times New Roman" w:hAnsi="Times New Roman" w:cs="Times New Roman"/>
          <w:iCs/>
        </w:rPr>
        <w:t>Simonds, R.,</w:t>
      </w:r>
      <w:r w:rsidRPr="00EC1973">
        <w:rPr>
          <w:rFonts w:ascii="Times New Roman" w:hAnsi="Times New Roman" w:cs="Times New Roman"/>
          <w:i/>
        </w:rPr>
        <w:t xml:space="preserve"> Income Capitalization, Flotation Costs, and the Cost of Capital, </w:t>
      </w:r>
      <w:r w:rsidRPr="00EC1973">
        <w:rPr>
          <w:rFonts w:ascii="Times New Roman" w:hAnsi="Times New Roman" w:cs="Times New Roman"/>
          <w:iCs/>
        </w:rPr>
        <w:t>Journal of Property Tax Assessment &amp; Administration, Volume 3, Issue 4, 2006</w:t>
      </w:r>
    </w:p>
  </w:footnote>
  <w:footnote w:id="17">
    <w:p w14:paraId="2EF4E385" w14:textId="0FC05A08" w:rsidR="004A2F3C" w:rsidRPr="00EC1973" w:rsidRDefault="004A2F3C" w:rsidP="0056059E">
      <w:pPr>
        <w:pStyle w:val="FootnoteText"/>
        <w:rPr>
          <w:rFonts w:ascii="Times New Roman" w:hAnsi="Times New Roman" w:cs="Times New Roman"/>
        </w:rPr>
      </w:pPr>
      <w:r w:rsidRPr="00EC1973">
        <w:rPr>
          <w:rStyle w:val="FootnoteReference"/>
          <w:rFonts w:ascii="Times New Roman" w:hAnsi="Times New Roman" w:cs="Times New Roman"/>
        </w:rPr>
        <w:footnoteRef/>
      </w:r>
      <w:r w:rsidRPr="00EC1973">
        <w:rPr>
          <w:rFonts w:ascii="Times New Roman" w:hAnsi="Times New Roman" w:cs="Times New Roman"/>
        </w:rPr>
        <w:t xml:space="preserve"> When estimating a discount rate for </w:t>
      </w:r>
      <w:r w:rsidR="00121C4D">
        <w:rPr>
          <w:rFonts w:ascii="Times New Roman" w:hAnsi="Times New Roman" w:cs="Times New Roman"/>
        </w:rPr>
        <w:t xml:space="preserve">the </w:t>
      </w:r>
      <w:r w:rsidRPr="00EC1973">
        <w:rPr>
          <w:rFonts w:ascii="Times New Roman" w:hAnsi="Times New Roman" w:cs="Times New Roman"/>
        </w:rPr>
        <w:t xml:space="preserve">rate-regulated electric industry, Idaho Code </w:t>
      </w:r>
      <w:r w:rsidRPr="00EC1973">
        <w:rPr>
          <w:rFonts w:ascii="Times New Roman" w:eastAsia="Calibri" w:hAnsi="Times New Roman" w:cs="Times New Roman"/>
        </w:rPr>
        <w:t>§</w:t>
      </w:r>
      <w:r w:rsidRPr="00EC1973">
        <w:rPr>
          <w:rFonts w:ascii="Times New Roman" w:hAnsi="Times New Roman" w:cs="Times New Roman"/>
        </w:rPr>
        <w:t xml:space="preserve">63-205B requires a </w:t>
      </w:r>
      <w:r w:rsidR="00B770A9" w:rsidRPr="00EC1973">
        <w:rPr>
          <w:rFonts w:ascii="Times New Roman" w:hAnsi="Times New Roman" w:cs="Times New Roman"/>
        </w:rPr>
        <w:t>20-basis</w:t>
      </w:r>
      <w:r w:rsidRPr="00EC1973">
        <w:rPr>
          <w:rFonts w:ascii="Times New Roman" w:hAnsi="Times New Roman" w:cs="Times New Roman"/>
        </w:rPr>
        <w:t xml:space="preserve"> point add-on to the WACC to account for flotation costs.</w:t>
      </w:r>
    </w:p>
  </w:footnote>
  <w:footnote w:id="18">
    <w:p w14:paraId="71BED700" w14:textId="1964A6E5" w:rsidR="004A2F3C" w:rsidRPr="00EC1973" w:rsidRDefault="004A2F3C" w:rsidP="00BA1499">
      <w:pPr>
        <w:pStyle w:val="FootnoteText"/>
        <w:rPr>
          <w:rFonts w:ascii="Times New Roman" w:hAnsi="Times New Roman" w:cs="Times New Roman"/>
        </w:rPr>
      </w:pPr>
      <w:r w:rsidRPr="00EC1973">
        <w:rPr>
          <w:rStyle w:val="FootnoteReference"/>
          <w:rFonts w:ascii="Times New Roman" w:hAnsi="Times New Roman" w:cs="Times New Roman"/>
        </w:rPr>
        <w:footnoteRef/>
      </w:r>
      <w:r w:rsidRPr="00EC1973">
        <w:rPr>
          <w:rFonts w:ascii="Times New Roman" w:hAnsi="Times New Roman" w:cs="Times New Roman"/>
        </w:rPr>
        <w:t xml:space="preserve"> </w:t>
      </w:r>
      <w:r w:rsidRPr="00EC1973">
        <w:rPr>
          <w:rFonts w:ascii="Times New Roman" w:hAnsi="Times New Roman" w:cs="Times New Roman"/>
          <w:iCs/>
        </w:rPr>
        <w:t>Copeland, T. &amp; Weston, J.,</w:t>
      </w:r>
      <w:r w:rsidRPr="00EC1973">
        <w:rPr>
          <w:rFonts w:ascii="Times New Roman" w:hAnsi="Times New Roman" w:cs="Times New Roman"/>
          <w:i/>
        </w:rPr>
        <w:t xml:space="preserve"> </w:t>
      </w:r>
      <w:r w:rsidRPr="00EC1973">
        <w:rPr>
          <w:rFonts w:ascii="Times New Roman" w:hAnsi="Times New Roman" w:cs="Times New Roman"/>
          <w:i/>
          <w:iCs/>
        </w:rPr>
        <w:t xml:space="preserve">Financial Theory and Corporate Policy </w:t>
      </w:r>
      <w:r w:rsidRPr="00EC1973">
        <w:rPr>
          <w:rFonts w:ascii="Times New Roman" w:hAnsi="Times New Roman" w:cs="Times New Roman"/>
          <w:iCs/>
        </w:rPr>
        <w:t>(3rd ed.), Addison-Wesley Publishing Company</w:t>
      </w:r>
      <w:r w:rsidR="00EC1973">
        <w:rPr>
          <w:rFonts w:ascii="Times New Roman" w:hAnsi="Times New Roman" w:cs="Times New Roman"/>
          <w:iCs/>
        </w:rPr>
        <w:t>,</w:t>
      </w:r>
      <w:r w:rsidRPr="00EC1973">
        <w:rPr>
          <w:rFonts w:ascii="Times New Roman" w:hAnsi="Times New Roman" w:cs="Times New Roman"/>
          <w:iCs/>
        </w:rPr>
        <w:t xml:space="preserve"> </w:t>
      </w:r>
      <w:r w:rsidR="00EC1973">
        <w:rPr>
          <w:rFonts w:ascii="Times New Roman" w:hAnsi="Times New Roman" w:cs="Times New Roman"/>
          <w:iCs/>
        </w:rPr>
        <w:t>pg.</w:t>
      </w:r>
      <w:r w:rsidRPr="00EC1973">
        <w:rPr>
          <w:rFonts w:ascii="Times New Roman" w:hAnsi="Times New Roman" w:cs="Times New Roman"/>
          <w:iCs/>
        </w:rPr>
        <w:t xml:space="preserve"> 534</w:t>
      </w:r>
    </w:p>
  </w:footnote>
  <w:footnote w:id="19">
    <w:p w14:paraId="06DCA9E2" w14:textId="1DE00F75" w:rsidR="004A2F3C" w:rsidRPr="00EC1973" w:rsidRDefault="004A2F3C" w:rsidP="0056059E">
      <w:pPr>
        <w:pStyle w:val="FootnoteText"/>
        <w:rPr>
          <w:rFonts w:ascii="Times New Roman" w:hAnsi="Times New Roman" w:cs="Times New Roman"/>
        </w:rPr>
      </w:pPr>
      <w:r w:rsidRPr="00EC1973">
        <w:rPr>
          <w:rStyle w:val="FootnoteReference"/>
          <w:rFonts w:ascii="Times New Roman" w:hAnsi="Times New Roman" w:cs="Times New Roman"/>
        </w:rPr>
        <w:footnoteRef/>
      </w:r>
      <w:r w:rsidRPr="00EC1973">
        <w:rPr>
          <w:rFonts w:ascii="Times New Roman" w:hAnsi="Times New Roman" w:cs="Times New Roman"/>
        </w:rPr>
        <w:t xml:space="preserve"> Kahn, Alfred, </w:t>
      </w:r>
      <w:r w:rsidRPr="00EC1973">
        <w:rPr>
          <w:rFonts w:ascii="Times New Roman" w:hAnsi="Times New Roman" w:cs="Times New Roman"/>
          <w:i/>
          <w:iCs/>
        </w:rPr>
        <w:t xml:space="preserve">The Economics of Regulation: Principles and Institutions, </w:t>
      </w:r>
      <w:r w:rsidRPr="00EC1973">
        <w:rPr>
          <w:rFonts w:ascii="Times New Roman" w:hAnsi="Times New Roman" w:cs="Times New Roman"/>
        </w:rPr>
        <w:t>John Wiley &amp; Sons (1970), p. 44</w:t>
      </w:r>
    </w:p>
  </w:footnote>
  <w:footnote w:id="20">
    <w:p w14:paraId="5A6DE4AB" w14:textId="274F8D6D" w:rsidR="004A2F3C" w:rsidRDefault="004A2F3C" w:rsidP="0056059E">
      <w:pPr>
        <w:pStyle w:val="FootnoteText"/>
        <w:rPr>
          <w:rFonts w:ascii="Times New Roman" w:hAnsi="Times New Roman" w:cs="Times New Roman"/>
        </w:rPr>
      </w:pPr>
      <w:r w:rsidRPr="00EC1973">
        <w:rPr>
          <w:rStyle w:val="FootnoteReference"/>
          <w:rFonts w:ascii="Times New Roman" w:hAnsi="Times New Roman" w:cs="Times New Roman"/>
        </w:rPr>
        <w:footnoteRef/>
      </w:r>
      <w:r w:rsidRPr="00EC1973">
        <w:rPr>
          <w:rFonts w:ascii="Times New Roman" w:hAnsi="Times New Roman" w:cs="Times New Roman"/>
        </w:rPr>
        <w:t xml:space="preserve"> </w:t>
      </w:r>
      <w:r w:rsidRPr="00EC1973">
        <w:rPr>
          <w:rFonts w:ascii="Times New Roman" w:hAnsi="Times New Roman" w:cs="Times New Roman"/>
          <w:i/>
          <w:iCs/>
        </w:rPr>
        <w:t>PacifiCorp, Inc. v. Utah State Tax Commission</w:t>
      </w:r>
      <w:r w:rsidRPr="00EC1973">
        <w:rPr>
          <w:rFonts w:ascii="Times New Roman" w:hAnsi="Times New Roman" w:cs="Times New Roman"/>
        </w:rPr>
        <w:t>, No. 180903986 TX, pg. 8 (Utah 2nd D.C. 2020)</w:t>
      </w:r>
    </w:p>
    <w:p w14:paraId="31F157F4" w14:textId="238357F7" w:rsidR="00501ABB" w:rsidRPr="00501ABB" w:rsidRDefault="00501ABB" w:rsidP="0056059E">
      <w:pPr>
        <w:pStyle w:val="FootnoteText"/>
        <w:rPr>
          <w:rFonts w:ascii="Times New Roman" w:hAnsi="Times New Roman" w:cs="Times New Roman"/>
          <w:vertAlign w:val="superscript"/>
        </w:rPr>
      </w:pPr>
      <w:r w:rsidRPr="00501ABB">
        <w:rPr>
          <w:rFonts w:ascii="Times New Roman" w:hAnsi="Times New Roman" w:cs="Times New Roman"/>
          <w:vertAlign w:val="superscript"/>
        </w:rPr>
        <w:t>20</w:t>
      </w:r>
      <w:r>
        <w:rPr>
          <w:rFonts w:ascii="Times New Roman" w:hAnsi="Times New Roman" w:cs="Times New Roman"/>
          <w:vertAlign w:val="superscript"/>
        </w:rPr>
        <w:t xml:space="preserve"> </w:t>
      </w:r>
      <w:r w:rsidRPr="00501ABB">
        <w:rPr>
          <w:rFonts w:ascii="Times New Roman" w:hAnsi="Times New Roman" w:cs="Times New Roman"/>
        </w:rPr>
        <w:t>Leonard Hyman</w:t>
      </w:r>
      <w:r>
        <w:rPr>
          <w:rFonts w:ascii="Times New Roman" w:hAnsi="Times New Roman" w:cs="Times New Roman"/>
        </w:rPr>
        <w:t xml:space="preserve"> &amp; Will</w:t>
      </w:r>
      <w:r w:rsidR="00811FDA">
        <w:rPr>
          <w:rFonts w:ascii="Times New Roman" w:hAnsi="Times New Roman" w:cs="Times New Roman"/>
        </w:rPr>
        <w:t>i</w:t>
      </w:r>
      <w:r>
        <w:rPr>
          <w:rFonts w:ascii="Times New Roman" w:hAnsi="Times New Roman" w:cs="Times New Roman"/>
        </w:rPr>
        <w:t xml:space="preserve">am Tilles, </w:t>
      </w:r>
      <w:r w:rsidRPr="00501ABB">
        <w:rPr>
          <w:rFonts w:ascii="Times New Roman" w:hAnsi="Times New Roman" w:cs="Times New Roman"/>
          <w:i/>
          <w:iCs/>
        </w:rPr>
        <w:t>Don’t Cry for Utility Shareholders, America,</w:t>
      </w:r>
      <w:r>
        <w:rPr>
          <w:rFonts w:ascii="Times New Roman" w:hAnsi="Times New Roman" w:cs="Times New Roman"/>
        </w:rPr>
        <w:t xml:space="preserve"> Public Utilities Fortnightly (October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E002B" w14:textId="77777777" w:rsidR="004A2F3C" w:rsidRDefault="004A2F3C" w:rsidP="00C01957">
    <w:pPr>
      <w:pStyle w:val="Header"/>
    </w:pPr>
    <w:r>
      <w:rPr>
        <w:noProof/>
      </w:rPr>
      <w:drawing>
        <wp:anchor distT="0" distB="0" distL="114300" distR="114300" simplePos="0" relativeHeight="251658240" behindDoc="0" locked="0" layoutInCell="1" allowOverlap="1" wp14:anchorId="54B99C5B" wp14:editId="1E43FF4A">
          <wp:simplePos x="0" y="0"/>
          <wp:positionH relativeFrom="margin">
            <wp:posOffset>0</wp:posOffset>
          </wp:positionH>
          <wp:positionV relativeFrom="page">
            <wp:posOffset>400050</wp:posOffset>
          </wp:positionV>
          <wp:extent cx="4794639" cy="733425"/>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Y00016 - HEAD  tif to pick apart.tif"/>
                  <pic:cNvPicPr/>
                </pic:nvPicPr>
                <pic:blipFill>
                  <a:blip r:embed="rId1">
                    <a:extLst>
                      <a:ext uri="{28A0092B-C50C-407E-A947-70E740481C1C}">
                        <a14:useLocalDpi xmlns:a14="http://schemas.microsoft.com/office/drawing/2010/main" val="0"/>
                      </a:ext>
                    </a:extLst>
                  </a:blip>
                  <a:stretch>
                    <a:fillRect/>
                  </a:stretch>
                </pic:blipFill>
                <pic:spPr>
                  <a:xfrm>
                    <a:off x="0" y="0"/>
                    <a:ext cx="4795417" cy="733544"/>
                  </a:xfrm>
                  <a:prstGeom prst="rect">
                    <a:avLst/>
                  </a:prstGeom>
                </pic:spPr>
              </pic:pic>
            </a:graphicData>
          </a:graphic>
          <wp14:sizeRelH relativeFrom="margin">
            <wp14:pctWidth>0</wp14:pctWidth>
          </wp14:sizeRelH>
          <wp14:sizeRelV relativeFrom="margin">
            <wp14:pctHeight>0</wp14:pctHeight>
          </wp14:sizeRelV>
        </wp:anchor>
      </w:drawing>
    </w:r>
  </w:p>
  <w:p w14:paraId="0F8945C5" w14:textId="77777777" w:rsidR="004A2F3C" w:rsidRDefault="004A2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83ADE"/>
    <w:multiLevelType w:val="hybridMultilevel"/>
    <w:tmpl w:val="3CF851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E272685"/>
    <w:multiLevelType w:val="hybridMultilevel"/>
    <w:tmpl w:val="D7F2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024977">
    <w:abstractNumId w:val="1"/>
  </w:num>
  <w:num w:numId="2" w16cid:durableId="136278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12"/>
    <w:rsid w:val="00003BA8"/>
    <w:rsid w:val="000043F7"/>
    <w:rsid w:val="00011B8E"/>
    <w:rsid w:val="00016981"/>
    <w:rsid w:val="00017945"/>
    <w:rsid w:val="00017A43"/>
    <w:rsid w:val="0002163B"/>
    <w:rsid w:val="000328F3"/>
    <w:rsid w:val="00034055"/>
    <w:rsid w:val="00037070"/>
    <w:rsid w:val="0004007D"/>
    <w:rsid w:val="000419BB"/>
    <w:rsid w:val="0004445B"/>
    <w:rsid w:val="000510A8"/>
    <w:rsid w:val="0006270E"/>
    <w:rsid w:val="00065B13"/>
    <w:rsid w:val="00066F83"/>
    <w:rsid w:val="0007238D"/>
    <w:rsid w:val="000727CE"/>
    <w:rsid w:val="00074A8D"/>
    <w:rsid w:val="0007620B"/>
    <w:rsid w:val="00086E5C"/>
    <w:rsid w:val="00086F56"/>
    <w:rsid w:val="00091A85"/>
    <w:rsid w:val="000A07C5"/>
    <w:rsid w:val="000A3904"/>
    <w:rsid w:val="000B2FAF"/>
    <w:rsid w:val="000C51AF"/>
    <w:rsid w:val="000C54A1"/>
    <w:rsid w:val="000D5689"/>
    <w:rsid w:val="000D69E1"/>
    <w:rsid w:val="000E314B"/>
    <w:rsid w:val="000E4056"/>
    <w:rsid w:val="000F1733"/>
    <w:rsid w:val="000F6664"/>
    <w:rsid w:val="0010281E"/>
    <w:rsid w:val="00102D00"/>
    <w:rsid w:val="00111A83"/>
    <w:rsid w:val="0011673F"/>
    <w:rsid w:val="0011688B"/>
    <w:rsid w:val="00120A6E"/>
    <w:rsid w:val="00121C4D"/>
    <w:rsid w:val="00123D2B"/>
    <w:rsid w:val="00126C8C"/>
    <w:rsid w:val="001303E2"/>
    <w:rsid w:val="00131CCA"/>
    <w:rsid w:val="00132C12"/>
    <w:rsid w:val="00133EFA"/>
    <w:rsid w:val="001376F1"/>
    <w:rsid w:val="00141BFE"/>
    <w:rsid w:val="00160924"/>
    <w:rsid w:val="00162DBA"/>
    <w:rsid w:val="00163602"/>
    <w:rsid w:val="001646B5"/>
    <w:rsid w:val="00173458"/>
    <w:rsid w:val="00174292"/>
    <w:rsid w:val="001764C3"/>
    <w:rsid w:val="001772D0"/>
    <w:rsid w:val="00181D4E"/>
    <w:rsid w:val="001876EE"/>
    <w:rsid w:val="0018776F"/>
    <w:rsid w:val="001915E2"/>
    <w:rsid w:val="00193C12"/>
    <w:rsid w:val="00194585"/>
    <w:rsid w:val="00194AC8"/>
    <w:rsid w:val="001975F4"/>
    <w:rsid w:val="001A23D9"/>
    <w:rsid w:val="001B105F"/>
    <w:rsid w:val="001B2697"/>
    <w:rsid w:val="001B673A"/>
    <w:rsid w:val="001B790D"/>
    <w:rsid w:val="001C5B22"/>
    <w:rsid w:val="001D3DB3"/>
    <w:rsid w:val="001D52E5"/>
    <w:rsid w:val="001D657B"/>
    <w:rsid w:val="001E15A9"/>
    <w:rsid w:val="001E37E6"/>
    <w:rsid w:val="001E5AC5"/>
    <w:rsid w:val="001F547F"/>
    <w:rsid w:val="00207CFC"/>
    <w:rsid w:val="002100B7"/>
    <w:rsid w:val="00210F92"/>
    <w:rsid w:val="00211A05"/>
    <w:rsid w:val="00213674"/>
    <w:rsid w:val="0021483B"/>
    <w:rsid w:val="0022211E"/>
    <w:rsid w:val="0022291A"/>
    <w:rsid w:val="0022710F"/>
    <w:rsid w:val="00235D69"/>
    <w:rsid w:val="00240782"/>
    <w:rsid w:val="00244DC9"/>
    <w:rsid w:val="0025582A"/>
    <w:rsid w:val="0025765B"/>
    <w:rsid w:val="0026222F"/>
    <w:rsid w:val="00262B50"/>
    <w:rsid w:val="00267048"/>
    <w:rsid w:val="00270212"/>
    <w:rsid w:val="002755D4"/>
    <w:rsid w:val="0027596F"/>
    <w:rsid w:val="00276045"/>
    <w:rsid w:val="002766F7"/>
    <w:rsid w:val="00277030"/>
    <w:rsid w:val="00282C2A"/>
    <w:rsid w:val="00285643"/>
    <w:rsid w:val="002900A0"/>
    <w:rsid w:val="002948C5"/>
    <w:rsid w:val="00296818"/>
    <w:rsid w:val="0029760F"/>
    <w:rsid w:val="0029765B"/>
    <w:rsid w:val="002A34FE"/>
    <w:rsid w:val="002A4BD6"/>
    <w:rsid w:val="002A6682"/>
    <w:rsid w:val="002B1BA3"/>
    <w:rsid w:val="002C727B"/>
    <w:rsid w:val="002C7DB6"/>
    <w:rsid w:val="002D1574"/>
    <w:rsid w:val="002D2469"/>
    <w:rsid w:val="002D4C05"/>
    <w:rsid w:val="002D5127"/>
    <w:rsid w:val="002D5F5D"/>
    <w:rsid w:val="002D6BD2"/>
    <w:rsid w:val="002E0371"/>
    <w:rsid w:val="002E1DEA"/>
    <w:rsid w:val="002E3124"/>
    <w:rsid w:val="002E4648"/>
    <w:rsid w:val="002E6B4D"/>
    <w:rsid w:val="002E6E68"/>
    <w:rsid w:val="002E7ED7"/>
    <w:rsid w:val="002F5F1B"/>
    <w:rsid w:val="0031019A"/>
    <w:rsid w:val="0031388A"/>
    <w:rsid w:val="00313D81"/>
    <w:rsid w:val="0031703C"/>
    <w:rsid w:val="003232F2"/>
    <w:rsid w:val="00341BF3"/>
    <w:rsid w:val="003570CB"/>
    <w:rsid w:val="00362752"/>
    <w:rsid w:val="003648D1"/>
    <w:rsid w:val="0037257D"/>
    <w:rsid w:val="003764A9"/>
    <w:rsid w:val="0038234B"/>
    <w:rsid w:val="00382C2B"/>
    <w:rsid w:val="00383CF0"/>
    <w:rsid w:val="00384AE1"/>
    <w:rsid w:val="0039306C"/>
    <w:rsid w:val="00395F11"/>
    <w:rsid w:val="003A6E31"/>
    <w:rsid w:val="003A7C51"/>
    <w:rsid w:val="003B530D"/>
    <w:rsid w:val="003C0ECA"/>
    <w:rsid w:val="003C3D2A"/>
    <w:rsid w:val="003D1435"/>
    <w:rsid w:val="003D54D2"/>
    <w:rsid w:val="003D79AF"/>
    <w:rsid w:val="003E20CE"/>
    <w:rsid w:val="003E28B0"/>
    <w:rsid w:val="003E5AB0"/>
    <w:rsid w:val="003E798D"/>
    <w:rsid w:val="003F2398"/>
    <w:rsid w:val="003F25EA"/>
    <w:rsid w:val="0040601D"/>
    <w:rsid w:val="00411BD3"/>
    <w:rsid w:val="00416456"/>
    <w:rsid w:val="0042205D"/>
    <w:rsid w:val="00424163"/>
    <w:rsid w:val="00427203"/>
    <w:rsid w:val="00427428"/>
    <w:rsid w:val="00433A2E"/>
    <w:rsid w:val="00435E5F"/>
    <w:rsid w:val="0043665E"/>
    <w:rsid w:val="0044266F"/>
    <w:rsid w:val="0045185D"/>
    <w:rsid w:val="00452A2B"/>
    <w:rsid w:val="00453C4B"/>
    <w:rsid w:val="00457171"/>
    <w:rsid w:val="00466D58"/>
    <w:rsid w:val="004672BB"/>
    <w:rsid w:val="004714D1"/>
    <w:rsid w:val="004717B0"/>
    <w:rsid w:val="004800D9"/>
    <w:rsid w:val="0048309E"/>
    <w:rsid w:val="00483FCE"/>
    <w:rsid w:val="00495135"/>
    <w:rsid w:val="0049666C"/>
    <w:rsid w:val="004971AF"/>
    <w:rsid w:val="004A04CE"/>
    <w:rsid w:val="004A2F3C"/>
    <w:rsid w:val="004A56ED"/>
    <w:rsid w:val="004A7361"/>
    <w:rsid w:val="004B43E2"/>
    <w:rsid w:val="004B5F2F"/>
    <w:rsid w:val="004B7DCD"/>
    <w:rsid w:val="004C0A52"/>
    <w:rsid w:val="004C17A9"/>
    <w:rsid w:val="004C34A2"/>
    <w:rsid w:val="004C69E1"/>
    <w:rsid w:val="004C6EAE"/>
    <w:rsid w:val="004D1193"/>
    <w:rsid w:val="004D1823"/>
    <w:rsid w:val="004D1B57"/>
    <w:rsid w:val="004D1E9E"/>
    <w:rsid w:val="004D7318"/>
    <w:rsid w:val="004E2571"/>
    <w:rsid w:val="004E42CC"/>
    <w:rsid w:val="004E4437"/>
    <w:rsid w:val="004F1579"/>
    <w:rsid w:val="004F2AF0"/>
    <w:rsid w:val="00501ABB"/>
    <w:rsid w:val="00501DC4"/>
    <w:rsid w:val="00503B22"/>
    <w:rsid w:val="00505B10"/>
    <w:rsid w:val="00506AA9"/>
    <w:rsid w:val="00507479"/>
    <w:rsid w:val="0051005C"/>
    <w:rsid w:val="0051461D"/>
    <w:rsid w:val="00520894"/>
    <w:rsid w:val="00520B91"/>
    <w:rsid w:val="0052594E"/>
    <w:rsid w:val="00526FA6"/>
    <w:rsid w:val="00531B4A"/>
    <w:rsid w:val="00532B23"/>
    <w:rsid w:val="0053363F"/>
    <w:rsid w:val="00535C5F"/>
    <w:rsid w:val="005365E9"/>
    <w:rsid w:val="00536C90"/>
    <w:rsid w:val="00536CD2"/>
    <w:rsid w:val="00540AF2"/>
    <w:rsid w:val="00541DFB"/>
    <w:rsid w:val="00543D1D"/>
    <w:rsid w:val="005516F5"/>
    <w:rsid w:val="0055274C"/>
    <w:rsid w:val="00557A64"/>
    <w:rsid w:val="0056059E"/>
    <w:rsid w:val="00563795"/>
    <w:rsid w:val="00570807"/>
    <w:rsid w:val="00581435"/>
    <w:rsid w:val="00585C71"/>
    <w:rsid w:val="005A4282"/>
    <w:rsid w:val="005B1F2B"/>
    <w:rsid w:val="005B294A"/>
    <w:rsid w:val="005B4DD4"/>
    <w:rsid w:val="005B5059"/>
    <w:rsid w:val="005C1739"/>
    <w:rsid w:val="005C3E9A"/>
    <w:rsid w:val="005D3E51"/>
    <w:rsid w:val="005D5E68"/>
    <w:rsid w:val="005E0626"/>
    <w:rsid w:val="005E10BA"/>
    <w:rsid w:val="005E7AAA"/>
    <w:rsid w:val="005F43ED"/>
    <w:rsid w:val="005F7D91"/>
    <w:rsid w:val="006051F7"/>
    <w:rsid w:val="0060776A"/>
    <w:rsid w:val="0061215C"/>
    <w:rsid w:val="00612E05"/>
    <w:rsid w:val="00630876"/>
    <w:rsid w:val="006315DC"/>
    <w:rsid w:val="00642701"/>
    <w:rsid w:val="006434C3"/>
    <w:rsid w:val="00650916"/>
    <w:rsid w:val="0066291C"/>
    <w:rsid w:val="00665445"/>
    <w:rsid w:val="0067654B"/>
    <w:rsid w:val="006769D2"/>
    <w:rsid w:val="0069327C"/>
    <w:rsid w:val="006935DB"/>
    <w:rsid w:val="00693D8A"/>
    <w:rsid w:val="00694C1D"/>
    <w:rsid w:val="006A0354"/>
    <w:rsid w:val="006A1A93"/>
    <w:rsid w:val="006A204A"/>
    <w:rsid w:val="006A3BEE"/>
    <w:rsid w:val="006A481F"/>
    <w:rsid w:val="006B30CB"/>
    <w:rsid w:val="006B59A9"/>
    <w:rsid w:val="006C2CC8"/>
    <w:rsid w:val="006C46A3"/>
    <w:rsid w:val="006C6FB0"/>
    <w:rsid w:val="006D63E8"/>
    <w:rsid w:val="006D6E2D"/>
    <w:rsid w:val="006E12D1"/>
    <w:rsid w:val="006E2E38"/>
    <w:rsid w:val="006E330B"/>
    <w:rsid w:val="006E410A"/>
    <w:rsid w:val="006E6BBB"/>
    <w:rsid w:val="006E748A"/>
    <w:rsid w:val="00724BED"/>
    <w:rsid w:val="00726D3D"/>
    <w:rsid w:val="00731472"/>
    <w:rsid w:val="0073190C"/>
    <w:rsid w:val="00734041"/>
    <w:rsid w:val="007508ED"/>
    <w:rsid w:val="00756F0F"/>
    <w:rsid w:val="00765282"/>
    <w:rsid w:val="00766354"/>
    <w:rsid w:val="007723EB"/>
    <w:rsid w:val="0077281E"/>
    <w:rsid w:val="007965B7"/>
    <w:rsid w:val="007967A6"/>
    <w:rsid w:val="00796955"/>
    <w:rsid w:val="007A03B2"/>
    <w:rsid w:val="007A4A37"/>
    <w:rsid w:val="007B0189"/>
    <w:rsid w:val="007B6A0B"/>
    <w:rsid w:val="007C01E2"/>
    <w:rsid w:val="007C313D"/>
    <w:rsid w:val="007C3349"/>
    <w:rsid w:val="007C4621"/>
    <w:rsid w:val="007D0968"/>
    <w:rsid w:val="007D2E4C"/>
    <w:rsid w:val="007D5B47"/>
    <w:rsid w:val="007D6F95"/>
    <w:rsid w:val="007D702A"/>
    <w:rsid w:val="007E63FD"/>
    <w:rsid w:val="007F0CAC"/>
    <w:rsid w:val="007F6B2F"/>
    <w:rsid w:val="007F7845"/>
    <w:rsid w:val="00800223"/>
    <w:rsid w:val="00802FB5"/>
    <w:rsid w:val="00805B81"/>
    <w:rsid w:val="00810E0D"/>
    <w:rsid w:val="0081117E"/>
    <w:rsid w:val="00811FDA"/>
    <w:rsid w:val="008124B6"/>
    <w:rsid w:val="008174EC"/>
    <w:rsid w:val="008202E9"/>
    <w:rsid w:val="00821DFB"/>
    <w:rsid w:val="00825AB5"/>
    <w:rsid w:val="00827174"/>
    <w:rsid w:val="00827460"/>
    <w:rsid w:val="0083098B"/>
    <w:rsid w:val="008335EB"/>
    <w:rsid w:val="00836569"/>
    <w:rsid w:val="00837B48"/>
    <w:rsid w:val="00842987"/>
    <w:rsid w:val="008430D6"/>
    <w:rsid w:val="008546B6"/>
    <w:rsid w:val="00854834"/>
    <w:rsid w:val="00860751"/>
    <w:rsid w:val="00861290"/>
    <w:rsid w:val="0086627B"/>
    <w:rsid w:val="008749E6"/>
    <w:rsid w:val="008826C5"/>
    <w:rsid w:val="0088355E"/>
    <w:rsid w:val="008835C4"/>
    <w:rsid w:val="00884A76"/>
    <w:rsid w:val="008B30BE"/>
    <w:rsid w:val="008C1D2C"/>
    <w:rsid w:val="008C36CA"/>
    <w:rsid w:val="008C5BC6"/>
    <w:rsid w:val="008D2300"/>
    <w:rsid w:val="008E0903"/>
    <w:rsid w:val="008E28F1"/>
    <w:rsid w:val="008E4057"/>
    <w:rsid w:val="008E6784"/>
    <w:rsid w:val="008E6921"/>
    <w:rsid w:val="008F38F0"/>
    <w:rsid w:val="008F44CC"/>
    <w:rsid w:val="008F75BA"/>
    <w:rsid w:val="008F7A79"/>
    <w:rsid w:val="0091316E"/>
    <w:rsid w:val="009161D7"/>
    <w:rsid w:val="00920778"/>
    <w:rsid w:val="009212FC"/>
    <w:rsid w:val="00923B60"/>
    <w:rsid w:val="00925BA6"/>
    <w:rsid w:val="00935E67"/>
    <w:rsid w:val="009406FC"/>
    <w:rsid w:val="00942ADC"/>
    <w:rsid w:val="00945923"/>
    <w:rsid w:val="00947159"/>
    <w:rsid w:val="00952116"/>
    <w:rsid w:val="00953A31"/>
    <w:rsid w:val="00955150"/>
    <w:rsid w:val="0095597A"/>
    <w:rsid w:val="009612B3"/>
    <w:rsid w:val="00961F0B"/>
    <w:rsid w:val="00962C10"/>
    <w:rsid w:val="00963230"/>
    <w:rsid w:val="00963B48"/>
    <w:rsid w:val="00966CC7"/>
    <w:rsid w:val="0096708F"/>
    <w:rsid w:val="0098078A"/>
    <w:rsid w:val="00993C13"/>
    <w:rsid w:val="009943B7"/>
    <w:rsid w:val="009A31A8"/>
    <w:rsid w:val="009B3DA6"/>
    <w:rsid w:val="009C1353"/>
    <w:rsid w:val="009C1E59"/>
    <w:rsid w:val="009C7610"/>
    <w:rsid w:val="009E308E"/>
    <w:rsid w:val="009E44DD"/>
    <w:rsid w:val="009E4E8B"/>
    <w:rsid w:val="009F31B6"/>
    <w:rsid w:val="009F71E2"/>
    <w:rsid w:val="00A007A4"/>
    <w:rsid w:val="00A10DEF"/>
    <w:rsid w:val="00A1278E"/>
    <w:rsid w:val="00A17A86"/>
    <w:rsid w:val="00A333C5"/>
    <w:rsid w:val="00A3723B"/>
    <w:rsid w:val="00A379B4"/>
    <w:rsid w:val="00A44E29"/>
    <w:rsid w:val="00A47D6D"/>
    <w:rsid w:val="00A73C21"/>
    <w:rsid w:val="00A7504C"/>
    <w:rsid w:val="00A75269"/>
    <w:rsid w:val="00A830C1"/>
    <w:rsid w:val="00A85093"/>
    <w:rsid w:val="00A914A7"/>
    <w:rsid w:val="00A934D5"/>
    <w:rsid w:val="00A93D1A"/>
    <w:rsid w:val="00AA0303"/>
    <w:rsid w:val="00AA52CC"/>
    <w:rsid w:val="00AA6A83"/>
    <w:rsid w:val="00AC1131"/>
    <w:rsid w:val="00AC1C03"/>
    <w:rsid w:val="00AC21F3"/>
    <w:rsid w:val="00AC426D"/>
    <w:rsid w:val="00AD214E"/>
    <w:rsid w:val="00AD2936"/>
    <w:rsid w:val="00AD6737"/>
    <w:rsid w:val="00AD6F2C"/>
    <w:rsid w:val="00AE02CD"/>
    <w:rsid w:val="00AE3A79"/>
    <w:rsid w:val="00AE489E"/>
    <w:rsid w:val="00AE51D9"/>
    <w:rsid w:val="00AE59FE"/>
    <w:rsid w:val="00AE5B8A"/>
    <w:rsid w:val="00AE7577"/>
    <w:rsid w:val="00AF0017"/>
    <w:rsid w:val="00AF1EB0"/>
    <w:rsid w:val="00AF33AF"/>
    <w:rsid w:val="00AF460A"/>
    <w:rsid w:val="00AF4DFC"/>
    <w:rsid w:val="00B0069E"/>
    <w:rsid w:val="00B14039"/>
    <w:rsid w:val="00B171E0"/>
    <w:rsid w:val="00B22AA3"/>
    <w:rsid w:val="00B2585B"/>
    <w:rsid w:val="00B430FD"/>
    <w:rsid w:val="00B479C3"/>
    <w:rsid w:val="00B500AB"/>
    <w:rsid w:val="00B52A4B"/>
    <w:rsid w:val="00B557FA"/>
    <w:rsid w:val="00B6061A"/>
    <w:rsid w:val="00B608BC"/>
    <w:rsid w:val="00B61275"/>
    <w:rsid w:val="00B617A2"/>
    <w:rsid w:val="00B61B60"/>
    <w:rsid w:val="00B64386"/>
    <w:rsid w:val="00B65169"/>
    <w:rsid w:val="00B66A6E"/>
    <w:rsid w:val="00B73FD7"/>
    <w:rsid w:val="00B7665E"/>
    <w:rsid w:val="00B770A9"/>
    <w:rsid w:val="00B84997"/>
    <w:rsid w:val="00BA1499"/>
    <w:rsid w:val="00BB6DD4"/>
    <w:rsid w:val="00BB7BAC"/>
    <w:rsid w:val="00BC2206"/>
    <w:rsid w:val="00BD1175"/>
    <w:rsid w:val="00BD1D2B"/>
    <w:rsid w:val="00BD64D0"/>
    <w:rsid w:val="00BD7141"/>
    <w:rsid w:val="00BE06B5"/>
    <w:rsid w:val="00BE1502"/>
    <w:rsid w:val="00BE1556"/>
    <w:rsid w:val="00BF2BCF"/>
    <w:rsid w:val="00BF397A"/>
    <w:rsid w:val="00BF778F"/>
    <w:rsid w:val="00C01957"/>
    <w:rsid w:val="00C11090"/>
    <w:rsid w:val="00C11E5D"/>
    <w:rsid w:val="00C21B26"/>
    <w:rsid w:val="00C248E1"/>
    <w:rsid w:val="00C30C08"/>
    <w:rsid w:val="00C34C6A"/>
    <w:rsid w:val="00C35133"/>
    <w:rsid w:val="00C35EF4"/>
    <w:rsid w:val="00C407DA"/>
    <w:rsid w:val="00C41C1B"/>
    <w:rsid w:val="00C52C48"/>
    <w:rsid w:val="00C53FD1"/>
    <w:rsid w:val="00C615B5"/>
    <w:rsid w:val="00C62FD5"/>
    <w:rsid w:val="00C7336D"/>
    <w:rsid w:val="00C74DB7"/>
    <w:rsid w:val="00C9185E"/>
    <w:rsid w:val="00CA08A7"/>
    <w:rsid w:val="00CA56E7"/>
    <w:rsid w:val="00CB3371"/>
    <w:rsid w:val="00CB77F3"/>
    <w:rsid w:val="00CD06C7"/>
    <w:rsid w:val="00CD1626"/>
    <w:rsid w:val="00CD6C6E"/>
    <w:rsid w:val="00CE75A9"/>
    <w:rsid w:val="00CF5224"/>
    <w:rsid w:val="00CF5323"/>
    <w:rsid w:val="00CF6A7C"/>
    <w:rsid w:val="00D0043E"/>
    <w:rsid w:val="00D01812"/>
    <w:rsid w:val="00D07818"/>
    <w:rsid w:val="00D10E8F"/>
    <w:rsid w:val="00D11A5D"/>
    <w:rsid w:val="00D173F1"/>
    <w:rsid w:val="00D17823"/>
    <w:rsid w:val="00D17CDD"/>
    <w:rsid w:val="00D201E3"/>
    <w:rsid w:val="00D240AD"/>
    <w:rsid w:val="00D24FCE"/>
    <w:rsid w:val="00D25BE3"/>
    <w:rsid w:val="00D31BD9"/>
    <w:rsid w:val="00D32C80"/>
    <w:rsid w:val="00D35822"/>
    <w:rsid w:val="00D35F1B"/>
    <w:rsid w:val="00D40440"/>
    <w:rsid w:val="00D405F2"/>
    <w:rsid w:val="00D54F13"/>
    <w:rsid w:val="00D60DB0"/>
    <w:rsid w:val="00D672F7"/>
    <w:rsid w:val="00D707AE"/>
    <w:rsid w:val="00D74404"/>
    <w:rsid w:val="00D80877"/>
    <w:rsid w:val="00D817B5"/>
    <w:rsid w:val="00D8380C"/>
    <w:rsid w:val="00D865B3"/>
    <w:rsid w:val="00D8766B"/>
    <w:rsid w:val="00D93FB3"/>
    <w:rsid w:val="00D96A5B"/>
    <w:rsid w:val="00DA5DBA"/>
    <w:rsid w:val="00DA70CF"/>
    <w:rsid w:val="00DB27CF"/>
    <w:rsid w:val="00DB3BCC"/>
    <w:rsid w:val="00DC17DD"/>
    <w:rsid w:val="00DC4AC1"/>
    <w:rsid w:val="00DD0196"/>
    <w:rsid w:val="00DD1613"/>
    <w:rsid w:val="00DD43B0"/>
    <w:rsid w:val="00DD5065"/>
    <w:rsid w:val="00DD5D1F"/>
    <w:rsid w:val="00DE05F0"/>
    <w:rsid w:val="00DE0FCE"/>
    <w:rsid w:val="00DE1FB4"/>
    <w:rsid w:val="00DE28B6"/>
    <w:rsid w:val="00DE5EAD"/>
    <w:rsid w:val="00DE6C42"/>
    <w:rsid w:val="00DF131F"/>
    <w:rsid w:val="00DF2202"/>
    <w:rsid w:val="00E055EE"/>
    <w:rsid w:val="00E059F0"/>
    <w:rsid w:val="00E05CD9"/>
    <w:rsid w:val="00E23CFC"/>
    <w:rsid w:val="00E34156"/>
    <w:rsid w:val="00E42DF5"/>
    <w:rsid w:val="00E50861"/>
    <w:rsid w:val="00E51314"/>
    <w:rsid w:val="00E5783E"/>
    <w:rsid w:val="00E658E8"/>
    <w:rsid w:val="00E70930"/>
    <w:rsid w:val="00E71828"/>
    <w:rsid w:val="00E8056A"/>
    <w:rsid w:val="00E94475"/>
    <w:rsid w:val="00EA35EE"/>
    <w:rsid w:val="00EA5C57"/>
    <w:rsid w:val="00EA6970"/>
    <w:rsid w:val="00EA7F02"/>
    <w:rsid w:val="00EB10C4"/>
    <w:rsid w:val="00EB2455"/>
    <w:rsid w:val="00EB5DF1"/>
    <w:rsid w:val="00EB6005"/>
    <w:rsid w:val="00EB7312"/>
    <w:rsid w:val="00EC03E3"/>
    <w:rsid w:val="00EC0BC7"/>
    <w:rsid w:val="00EC11AA"/>
    <w:rsid w:val="00EC1973"/>
    <w:rsid w:val="00EC3378"/>
    <w:rsid w:val="00EC4620"/>
    <w:rsid w:val="00ED002A"/>
    <w:rsid w:val="00ED0980"/>
    <w:rsid w:val="00ED28DE"/>
    <w:rsid w:val="00ED734F"/>
    <w:rsid w:val="00EF4B3D"/>
    <w:rsid w:val="00EF77CC"/>
    <w:rsid w:val="00F01AC4"/>
    <w:rsid w:val="00F06941"/>
    <w:rsid w:val="00F078C2"/>
    <w:rsid w:val="00F1055F"/>
    <w:rsid w:val="00F118EE"/>
    <w:rsid w:val="00F13984"/>
    <w:rsid w:val="00F1438A"/>
    <w:rsid w:val="00F30722"/>
    <w:rsid w:val="00F37C6E"/>
    <w:rsid w:val="00F44DE5"/>
    <w:rsid w:val="00F531BC"/>
    <w:rsid w:val="00F56F10"/>
    <w:rsid w:val="00F602AD"/>
    <w:rsid w:val="00F90C8B"/>
    <w:rsid w:val="00FC01B5"/>
    <w:rsid w:val="00FC269A"/>
    <w:rsid w:val="00FC2905"/>
    <w:rsid w:val="00FC388F"/>
    <w:rsid w:val="00FD7988"/>
    <w:rsid w:val="00FE7B2A"/>
    <w:rsid w:val="00FF29EF"/>
    <w:rsid w:val="00FF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5D3C5"/>
  <w15:docId w15:val="{BB84D498-B7CE-4D80-80AE-597A6318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312"/>
  </w:style>
  <w:style w:type="paragraph" w:styleId="Footer">
    <w:name w:val="footer"/>
    <w:basedOn w:val="Normal"/>
    <w:link w:val="FooterChar"/>
    <w:uiPriority w:val="99"/>
    <w:unhideWhenUsed/>
    <w:rsid w:val="00EB7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312"/>
  </w:style>
  <w:style w:type="paragraph" w:styleId="BalloonText">
    <w:name w:val="Balloon Text"/>
    <w:basedOn w:val="Normal"/>
    <w:link w:val="BalloonTextChar"/>
    <w:uiPriority w:val="99"/>
    <w:semiHidden/>
    <w:unhideWhenUsed/>
    <w:rsid w:val="00EB7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312"/>
    <w:rPr>
      <w:rFonts w:ascii="Tahoma" w:hAnsi="Tahoma" w:cs="Tahoma"/>
      <w:sz w:val="16"/>
      <w:szCs w:val="16"/>
    </w:rPr>
  </w:style>
  <w:style w:type="paragraph" w:styleId="NormalWeb">
    <w:name w:val="Normal (Web)"/>
    <w:basedOn w:val="Normal"/>
    <w:uiPriority w:val="99"/>
    <w:semiHidden/>
    <w:unhideWhenUsed/>
    <w:rsid w:val="00AE51D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605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59E"/>
    <w:rPr>
      <w:sz w:val="20"/>
      <w:szCs w:val="20"/>
    </w:rPr>
  </w:style>
  <w:style w:type="character" w:styleId="FootnoteReference">
    <w:name w:val="footnote reference"/>
    <w:basedOn w:val="DefaultParagraphFont"/>
    <w:uiPriority w:val="99"/>
    <w:semiHidden/>
    <w:unhideWhenUsed/>
    <w:rsid w:val="0056059E"/>
    <w:rPr>
      <w:vertAlign w:val="superscript"/>
    </w:rPr>
  </w:style>
  <w:style w:type="character" w:styleId="Hyperlink">
    <w:name w:val="Hyperlink"/>
    <w:basedOn w:val="DefaultParagraphFont"/>
    <w:uiPriority w:val="99"/>
    <w:unhideWhenUsed/>
    <w:rsid w:val="007C313D"/>
    <w:rPr>
      <w:color w:val="0000FF" w:themeColor="hyperlink"/>
      <w:u w:val="single"/>
    </w:rPr>
  </w:style>
  <w:style w:type="character" w:styleId="UnresolvedMention">
    <w:name w:val="Unresolved Mention"/>
    <w:basedOn w:val="DefaultParagraphFont"/>
    <w:uiPriority w:val="99"/>
    <w:semiHidden/>
    <w:unhideWhenUsed/>
    <w:rsid w:val="007C313D"/>
    <w:rPr>
      <w:color w:val="605E5C"/>
      <w:shd w:val="clear" w:color="auto" w:fill="E1DFDD"/>
    </w:rPr>
  </w:style>
  <w:style w:type="paragraph" w:styleId="Revision">
    <w:name w:val="Revision"/>
    <w:hidden/>
    <w:uiPriority w:val="99"/>
    <w:semiHidden/>
    <w:rsid w:val="003E5AB0"/>
    <w:pPr>
      <w:spacing w:after="0" w:line="240" w:lineRule="auto"/>
    </w:pPr>
  </w:style>
  <w:style w:type="character" w:styleId="CommentReference">
    <w:name w:val="annotation reference"/>
    <w:basedOn w:val="DefaultParagraphFont"/>
    <w:uiPriority w:val="99"/>
    <w:semiHidden/>
    <w:unhideWhenUsed/>
    <w:rsid w:val="00A934D5"/>
    <w:rPr>
      <w:sz w:val="16"/>
      <w:szCs w:val="16"/>
    </w:rPr>
  </w:style>
  <w:style w:type="paragraph" w:styleId="CommentText">
    <w:name w:val="annotation text"/>
    <w:basedOn w:val="Normal"/>
    <w:link w:val="CommentTextChar"/>
    <w:uiPriority w:val="99"/>
    <w:semiHidden/>
    <w:unhideWhenUsed/>
    <w:rsid w:val="00A934D5"/>
    <w:pPr>
      <w:spacing w:line="240" w:lineRule="auto"/>
    </w:pPr>
    <w:rPr>
      <w:sz w:val="20"/>
      <w:szCs w:val="20"/>
    </w:rPr>
  </w:style>
  <w:style w:type="character" w:customStyle="1" w:styleId="CommentTextChar">
    <w:name w:val="Comment Text Char"/>
    <w:basedOn w:val="DefaultParagraphFont"/>
    <w:link w:val="CommentText"/>
    <w:uiPriority w:val="99"/>
    <w:semiHidden/>
    <w:rsid w:val="00A934D5"/>
    <w:rPr>
      <w:sz w:val="20"/>
      <w:szCs w:val="20"/>
    </w:rPr>
  </w:style>
  <w:style w:type="paragraph" w:styleId="CommentSubject">
    <w:name w:val="annotation subject"/>
    <w:basedOn w:val="CommentText"/>
    <w:next w:val="CommentText"/>
    <w:link w:val="CommentSubjectChar"/>
    <w:uiPriority w:val="99"/>
    <w:semiHidden/>
    <w:unhideWhenUsed/>
    <w:rsid w:val="00A934D5"/>
    <w:rPr>
      <w:b/>
      <w:bCs/>
    </w:rPr>
  </w:style>
  <w:style w:type="character" w:customStyle="1" w:styleId="CommentSubjectChar">
    <w:name w:val="Comment Subject Char"/>
    <w:basedOn w:val="CommentTextChar"/>
    <w:link w:val="CommentSubject"/>
    <w:uiPriority w:val="99"/>
    <w:semiHidden/>
    <w:rsid w:val="00A934D5"/>
    <w:rPr>
      <w:b/>
      <w:bCs/>
      <w:sz w:val="20"/>
      <w:szCs w:val="20"/>
    </w:rPr>
  </w:style>
  <w:style w:type="table" w:styleId="TableGrid">
    <w:name w:val="Table Grid"/>
    <w:basedOn w:val="TableNormal"/>
    <w:uiPriority w:val="39"/>
    <w:rsid w:val="003D1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1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58470">
      <w:bodyDiv w:val="1"/>
      <w:marLeft w:val="0"/>
      <w:marRight w:val="0"/>
      <w:marTop w:val="0"/>
      <w:marBottom w:val="0"/>
      <w:divBdr>
        <w:top w:val="none" w:sz="0" w:space="0" w:color="auto"/>
        <w:left w:val="none" w:sz="0" w:space="0" w:color="auto"/>
        <w:bottom w:val="none" w:sz="0" w:space="0" w:color="auto"/>
        <w:right w:val="none" w:sz="0" w:space="0" w:color="auto"/>
      </w:divBdr>
    </w:div>
    <w:div w:id="435948807">
      <w:bodyDiv w:val="1"/>
      <w:marLeft w:val="0"/>
      <w:marRight w:val="0"/>
      <w:marTop w:val="0"/>
      <w:marBottom w:val="0"/>
      <w:divBdr>
        <w:top w:val="none" w:sz="0" w:space="0" w:color="auto"/>
        <w:left w:val="none" w:sz="0" w:space="0" w:color="auto"/>
        <w:bottom w:val="none" w:sz="0" w:space="0" w:color="auto"/>
        <w:right w:val="none" w:sz="0" w:space="0" w:color="auto"/>
      </w:divBdr>
      <w:divsChild>
        <w:div w:id="323246530">
          <w:marLeft w:val="0"/>
          <w:marRight w:val="0"/>
          <w:marTop w:val="0"/>
          <w:marBottom w:val="0"/>
          <w:divBdr>
            <w:top w:val="none" w:sz="0" w:space="0" w:color="auto"/>
            <w:left w:val="none" w:sz="0" w:space="0" w:color="auto"/>
            <w:bottom w:val="none" w:sz="0" w:space="0" w:color="auto"/>
            <w:right w:val="none" w:sz="0" w:space="0" w:color="auto"/>
          </w:divBdr>
        </w:div>
        <w:div w:id="353193643">
          <w:marLeft w:val="0"/>
          <w:marRight w:val="0"/>
          <w:marTop w:val="0"/>
          <w:marBottom w:val="0"/>
          <w:divBdr>
            <w:top w:val="none" w:sz="0" w:space="0" w:color="auto"/>
            <w:left w:val="none" w:sz="0" w:space="0" w:color="auto"/>
            <w:bottom w:val="none" w:sz="0" w:space="0" w:color="auto"/>
            <w:right w:val="none" w:sz="0" w:space="0" w:color="auto"/>
          </w:divBdr>
        </w:div>
        <w:div w:id="428234876">
          <w:marLeft w:val="0"/>
          <w:marRight w:val="0"/>
          <w:marTop w:val="0"/>
          <w:marBottom w:val="0"/>
          <w:divBdr>
            <w:top w:val="none" w:sz="0" w:space="0" w:color="auto"/>
            <w:left w:val="none" w:sz="0" w:space="0" w:color="auto"/>
            <w:bottom w:val="none" w:sz="0" w:space="0" w:color="auto"/>
            <w:right w:val="none" w:sz="0" w:space="0" w:color="auto"/>
          </w:divBdr>
        </w:div>
        <w:div w:id="479351057">
          <w:marLeft w:val="0"/>
          <w:marRight w:val="0"/>
          <w:marTop w:val="0"/>
          <w:marBottom w:val="0"/>
          <w:divBdr>
            <w:top w:val="none" w:sz="0" w:space="0" w:color="auto"/>
            <w:left w:val="none" w:sz="0" w:space="0" w:color="auto"/>
            <w:bottom w:val="none" w:sz="0" w:space="0" w:color="auto"/>
            <w:right w:val="none" w:sz="0" w:space="0" w:color="auto"/>
          </w:divBdr>
        </w:div>
        <w:div w:id="939533439">
          <w:marLeft w:val="0"/>
          <w:marRight w:val="0"/>
          <w:marTop w:val="0"/>
          <w:marBottom w:val="0"/>
          <w:divBdr>
            <w:top w:val="none" w:sz="0" w:space="0" w:color="auto"/>
            <w:left w:val="none" w:sz="0" w:space="0" w:color="auto"/>
            <w:bottom w:val="none" w:sz="0" w:space="0" w:color="auto"/>
            <w:right w:val="none" w:sz="0" w:space="0" w:color="auto"/>
          </w:divBdr>
        </w:div>
        <w:div w:id="1077942995">
          <w:marLeft w:val="0"/>
          <w:marRight w:val="0"/>
          <w:marTop w:val="0"/>
          <w:marBottom w:val="0"/>
          <w:divBdr>
            <w:top w:val="none" w:sz="0" w:space="0" w:color="auto"/>
            <w:left w:val="none" w:sz="0" w:space="0" w:color="auto"/>
            <w:bottom w:val="none" w:sz="0" w:space="0" w:color="auto"/>
            <w:right w:val="none" w:sz="0" w:space="0" w:color="auto"/>
          </w:divBdr>
        </w:div>
        <w:div w:id="1385718687">
          <w:marLeft w:val="0"/>
          <w:marRight w:val="0"/>
          <w:marTop w:val="0"/>
          <w:marBottom w:val="0"/>
          <w:divBdr>
            <w:top w:val="none" w:sz="0" w:space="0" w:color="auto"/>
            <w:left w:val="none" w:sz="0" w:space="0" w:color="auto"/>
            <w:bottom w:val="none" w:sz="0" w:space="0" w:color="auto"/>
            <w:right w:val="none" w:sz="0" w:space="0" w:color="auto"/>
          </w:divBdr>
        </w:div>
        <w:div w:id="1879080179">
          <w:marLeft w:val="0"/>
          <w:marRight w:val="0"/>
          <w:marTop w:val="0"/>
          <w:marBottom w:val="0"/>
          <w:divBdr>
            <w:top w:val="none" w:sz="0" w:space="0" w:color="auto"/>
            <w:left w:val="none" w:sz="0" w:space="0" w:color="auto"/>
            <w:bottom w:val="none" w:sz="0" w:space="0" w:color="auto"/>
            <w:right w:val="none" w:sz="0" w:space="0" w:color="auto"/>
          </w:divBdr>
        </w:div>
      </w:divsChild>
    </w:div>
    <w:div w:id="720638474">
      <w:bodyDiv w:val="1"/>
      <w:marLeft w:val="0"/>
      <w:marRight w:val="0"/>
      <w:marTop w:val="0"/>
      <w:marBottom w:val="0"/>
      <w:divBdr>
        <w:top w:val="none" w:sz="0" w:space="0" w:color="auto"/>
        <w:left w:val="none" w:sz="0" w:space="0" w:color="auto"/>
        <w:bottom w:val="none" w:sz="0" w:space="0" w:color="auto"/>
        <w:right w:val="none" w:sz="0" w:space="0" w:color="auto"/>
      </w:divBdr>
    </w:div>
    <w:div w:id="769006728">
      <w:bodyDiv w:val="1"/>
      <w:marLeft w:val="0"/>
      <w:marRight w:val="0"/>
      <w:marTop w:val="0"/>
      <w:marBottom w:val="0"/>
      <w:divBdr>
        <w:top w:val="none" w:sz="0" w:space="0" w:color="auto"/>
        <w:left w:val="none" w:sz="0" w:space="0" w:color="auto"/>
        <w:bottom w:val="none" w:sz="0" w:space="0" w:color="auto"/>
        <w:right w:val="none" w:sz="0" w:space="0" w:color="auto"/>
      </w:divBdr>
    </w:div>
    <w:div w:id="877280415">
      <w:bodyDiv w:val="1"/>
      <w:marLeft w:val="0"/>
      <w:marRight w:val="0"/>
      <w:marTop w:val="0"/>
      <w:marBottom w:val="0"/>
      <w:divBdr>
        <w:top w:val="none" w:sz="0" w:space="0" w:color="auto"/>
        <w:left w:val="none" w:sz="0" w:space="0" w:color="auto"/>
        <w:bottom w:val="none" w:sz="0" w:space="0" w:color="auto"/>
        <w:right w:val="none" w:sz="0" w:space="0" w:color="auto"/>
      </w:divBdr>
    </w:div>
    <w:div w:id="1017275555">
      <w:bodyDiv w:val="1"/>
      <w:marLeft w:val="0"/>
      <w:marRight w:val="0"/>
      <w:marTop w:val="0"/>
      <w:marBottom w:val="0"/>
      <w:divBdr>
        <w:top w:val="none" w:sz="0" w:space="0" w:color="auto"/>
        <w:left w:val="none" w:sz="0" w:space="0" w:color="auto"/>
        <w:bottom w:val="none" w:sz="0" w:space="0" w:color="auto"/>
        <w:right w:val="none" w:sz="0" w:space="0" w:color="auto"/>
      </w:divBdr>
    </w:div>
    <w:div w:id="1032732882">
      <w:bodyDiv w:val="1"/>
      <w:marLeft w:val="0"/>
      <w:marRight w:val="0"/>
      <w:marTop w:val="0"/>
      <w:marBottom w:val="0"/>
      <w:divBdr>
        <w:top w:val="none" w:sz="0" w:space="0" w:color="auto"/>
        <w:left w:val="none" w:sz="0" w:space="0" w:color="auto"/>
        <w:bottom w:val="none" w:sz="0" w:space="0" w:color="auto"/>
        <w:right w:val="none" w:sz="0" w:space="0" w:color="auto"/>
      </w:divBdr>
    </w:div>
    <w:div w:id="1099107293">
      <w:bodyDiv w:val="1"/>
      <w:marLeft w:val="0"/>
      <w:marRight w:val="0"/>
      <w:marTop w:val="0"/>
      <w:marBottom w:val="0"/>
      <w:divBdr>
        <w:top w:val="none" w:sz="0" w:space="0" w:color="auto"/>
        <w:left w:val="none" w:sz="0" w:space="0" w:color="auto"/>
        <w:bottom w:val="none" w:sz="0" w:space="0" w:color="auto"/>
        <w:right w:val="none" w:sz="0" w:space="0" w:color="auto"/>
      </w:divBdr>
      <w:divsChild>
        <w:div w:id="609705195">
          <w:marLeft w:val="0"/>
          <w:marRight w:val="0"/>
          <w:marTop w:val="0"/>
          <w:marBottom w:val="0"/>
          <w:divBdr>
            <w:top w:val="none" w:sz="0" w:space="0" w:color="auto"/>
            <w:left w:val="none" w:sz="0" w:space="0" w:color="auto"/>
            <w:bottom w:val="none" w:sz="0" w:space="0" w:color="auto"/>
            <w:right w:val="none" w:sz="0" w:space="0" w:color="auto"/>
          </w:divBdr>
        </w:div>
      </w:divsChild>
    </w:div>
    <w:div w:id="11630889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720">
          <w:marLeft w:val="0"/>
          <w:marRight w:val="0"/>
          <w:marTop w:val="0"/>
          <w:marBottom w:val="0"/>
          <w:divBdr>
            <w:top w:val="none" w:sz="0" w:space="0" w:color="auto"/>
            <w:left w:val="none" w:sz="0" w:space="0" w:color="auto"/>
            <w:bottom w:val="none" w:sz="0" w:space="0" w:color="auto"/>
            <w:right w:val="none" w:sz="0" w:space="0" w:color="auto"/>
          </w:divBdr>
        </w:div>
      </w:divsChild>
    </w:div>
    <w:div w:id="1452435397">
      <w:bodyDiv w:val="1"/>
      <w:marLeft w:val="0"/>
      <w:marRight w:val="0"/>
      <w:marTop w:val="0"/>
      <w:marBottom w:val="0"/>
      <w:divBdr>
        <w:top w:val="none" w:sz="0" w:space="0" w:color="auto"/>
        <w:left w:val="none" w:sz="0" w:space="0" w:color="auto"/>
        <w:bottom w:val="none" w:sz="0" w:space="0" w:color="auto"/>
        <w:right w:val="none" w:sz="0" w:space="0" w:color="auto"/>
      </w:divBdr>
    </w:div>
    <w:div w:id="1594898054">
      <w:bodyDiv w:val="1"/>
      <w:marLeft w:val="0"/>
      <w:marRight w:val="0"/>
      <w:marTop w:val="0"/>
      <w:marBottom w:val="0"/>
      <w:divBdr>
        <w:top w:val="none" w:sz="0" w:space="0" w:color="auto"/>
        <w:left w:val="none" w:sz="0" w:space="0" w:color="auto"/>
        <w:bottom w:val="none" w:sz="0" w:space="0" w:color="auto"/>
        <w:right w:val="none" w:sz="0" w:space="0" w:color="auto"/>
      </w:divBdr>
    </w:div>
    <w:div w:id="183534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ott.Rudd@tax.idaho.gov" TargetMode="External"/><Relationship Id="rId18" Type="http://schemas.openxmlformats.org/officeDocument/2006/relationships/hyperlink" Target="mailto:Tim.Hurst@tax.idaho.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Erica.Taggart@tax.idaho.gov" TargetMode="External"/><Relationship Id="rId2" Type="http://schemas.openxmlformats.org/officeDocument/2006/relationships/customXml" Target="../customXml/item2.xml"/><Relationship Id="rId16" Type="http://schemas.openxmlformats.org/officeDocument/2006/relationships/hyperlink" Target="mailto:Kyle.Rayworth@tax.idaho.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ames.Powell@tax.idaho.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hyanne.Massie@tax.idaho.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e.Weddell@tax.idaho.go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fred.stlouisfed.org/series/DGS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58BA967B40C340B56FF6E7ED0D8DB3" ma:contentTypeVersion="9" ma:contentTypeDescription="Create a new document." ma:contentTypeScope="" ma:versionID="de470576210e39e6158e9859252b3114">
  <xsd:schema xmlns:xsd="http://www.w3.org/2001/XMLSchema" xmlns:xs="http://www.w3.org/2001/XMLSchema" xmlns:p="http://schemas.microsoft.com/office/2006/metadata/properties" xmlns:ns3="6d3026cf-c408-4420-a70e-bcbc042c0024" xmlns:ns4="82ba3474-9675-4c2d-9b77-8ab5491e89b4" targetNamespace="http://schemas.microsoft.com/office/2006/metadata/properties" ma:root="true" ma:fieldsID="845ff859ae63d590269c13662f63daeb" ns3:_="" ns4:_="">
    <xsd:import namespace="6d3026cf-c408-4420-a70e-bcbc042c0024"/>
    <xsd:import namespace="82ba3474-9675-4c2d-9b77-8ab5491e89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026cf-c408-4420-a70e-bcbc042c0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a3474-9675-4c2d-9b77-8ab5491e8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29500-AAF0-4688-8876-14B51B7574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FFB811-36FC-4C46-8DDB-EA500444C946}">
  <ds:schemaRefs>
    <ds:schemaRef ds:uri="http://schemas.microsoft.com/sharepoint/v3/contenttype/forms"/>
  </ds:schemaRefs>
</ds:datastoreItem>
</file>

<file path=customXml/itemProps3.xml><?xml version="1.0" encoding="utf-8"?>
<ds:datastoreItem xmlns:ds="http://schemas.openxmlformats.org/officeDocument/2006/customXml" ds:itemID="{D00946F2-2571-4AFC-8A46-A6C308294C67}">
  <ds:schemaRefs>
    <ds:schemaRef ds:uri="http://schemas.openxmlformats.org/officeDocument/2006/bibliography"/>
  </ds:schemaRefs>
</ds:datastoreItem>
</file>

<file path=customXml/itemProps4.xml><?xml version="1.0" encoding="utf-8"?>
<ds:datastoreItem xmlns:ds="http://schemas.openxmlformats.org/officeDocument/2006/customXml" ds:itemID="{20A35EF4-539F-4F67-A979-9F8D06ECE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026cf-c408-4420-a70e-bcbc042c0024"/>
    <ds:schemaRef ds:uri="82ba3474-9675-4c2d-9b77-8ab5491e8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3790</Words>
  <Characters>21608</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Letterhead for Boise office</vt:lpstr>
    </vt:vector>
  </TitlesOfParts>
  <Company>Idaho State Tax Commission</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for Boise office</dc:title>
  <dc:subject/>
  <dc:creator>Idaho</dc:creator>
  <cp:keywords>ESY000201</cp:keywords>
  <dc:description/>
  <cp:lastModifiedBy>Allison Dodge</cp:lastModifiedBy>
  <cp:revision>2</cp:revision>
  <cp:lastPrinted>2024-05-23T19:43:00Z</cp:lastPrinted>
  <dcterms:created xsi:type="dcterms:W3CDTF">2024-05-23T20:19:00Z</dcterms:created>
  <dcterms:modified xsi:type="dcterms:W3CDTF">2024-05-23T20:19:00Z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0x010100D258BA967B40C340B56FF6E7ED0D8DB3</vt:lpwstr>
  </property>
  <property fmtid="{D5CDD505-2E9C-101B-9397-08002B2CF9AE}" pid="3" name="_dlc_DocIdItemGuid">
    <vt:lpwstr>4a146417-a2d5-41be-9395-eb35bc443465</vt:lpwstr>
  </property>
  <property fmtid="{D5CDD505-2E9C-101B-9397-08002B2CF9AE}" pid="4" name="TaxKeyword">
    <vt:lpwstr>2226;#ESY000201|44ea83a7-2261-47bc-ba7f-524cf7b33192</vt:lpwstr>
  </property>
</Properties>
</file>